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06" w:rsidRPr="004279C5" w:rsidRDefault="00925906" w:rsidP="001F4898">
      <w:pPr>
        <w:jc w:val="center"/>
        <w:rPr>
          <w:rFonts w:asciiTheme="majorBidi" w:hAnsiTheme="majorBidi" w:cstheme="majorBidi"/>
          <w:b/>
          <w:bCs/>
          <w:color w:val="FF0000"/>
          <w:sz w:val="28"/>
          <w:szCs w:val="28"/>
          <w:rtl/>
          <w:lang w:bidi="ar-IQ"/>
        </w:rPr>
      </w:pPr>
      <w:r w:rsidRPr="004279C5">
        <w:rPr>
          <w:rFonts w:asciiTheme="majorBidi" w:hAnsiTheme="majorBidi" w:cstheme="majorBidi"/>
          <w:b/>
          <w:bCs/>
          <w:color w:val="FF0000"/>
          <w:sz w:val="28"/>
          <w:szCs w:val="28"/>
        </w:rPr>
        <w:t xml:space="preserve">The impact of Islamic banks on </w:t>
      </w:r>
      <w:r w:rsidRPr="001F4898">
        <w:rPr>
          <w:rFonts w:asciiTheme="majorBidi" w:hAnsiTheme="majorBidi" w:cstheme="majorBidi"/>
          <w:b/>
          <w:bCs/>
          <w:color w:val="FF0000"/>
          <w:sz w:val="28"/>
          <w:szCs w:val="28"/>
        </w:rPr>
        <w:t xml:space="preserve">the </w:t>
      </w:r>
      <w:r w:rsidR="001F4898" w:rsidRPr="001F4898">
        <w:rPr>
          <w:rFonts w:asciiTheme="majorBidi" w:hAnsiTheme="majorBidi" w:cstheme="majorBidi"/>
          <w:b/>
          <w:bCs/>
          <w:color w:val="FF0000"/>
          <w:sz w:val="28"/>
          <w:szCs w:val="28"/>
          <w:lang w:bidi="ar-IQ"/>
        </w:rPr>
        <w:t>Iraq Stock Exchange</w:t>
      </w:r>
    </w:p>
    <w:p w:rsidR="00925906" w:rsidRPr="004279C5" w:rsidRDefault="00925906" w:rsidP="00925906">
      <w:pPr>
        <w:jc w:val="center"/>
        <w:rPr>
          <w:rFonts w:asciiTheme="majorBidi" w:hAnsiTheme="majorBidi" w:cstheme="majorBidi"/>
          <w:b/>
          <w:bCs/>
          <w:color w:val="FF0000"/>
          <w:sz w:val="28"/>
          <w:szCs w:val="28"/>
          <w:rtl/>
          <w:lang w:bidi="ar-IQ"/>
        </w:rPr>
      </w:pPr>
      <w:r w:rsidRPr="004279C5">
        <w:rPr>
          <w:rFonts w:asciiTheme="majorBidi" w:hAnsiTheme="majorBidi" w:cstheme="majorBidi"/>
          <w:b/>
          <w:bCs/>
          <w:color w:val="FF0000"/>
          <w:sz w:val="28"/>
          <w:szCs w:val="28"/>
        </w:rPr>
        <w:t>A standard study for the (market value and trading volume) indicators for the period ( 2004 – 2018)</w:t>
      </w:r>
    </w:p>
    <w:p w:rsidR="00925906" w:rsidRPr="002610CF" w:rsidRDefault="00925906" w:rsidP="002610CF">
      <w:pPr>
        <w:jc w:val="center"/>
        <w:rPr>
          <w:rFonts w:asciiTheme="majorBidi" w:hAnsiTheme="majorBidi" w:cstheme="majorBidi"/>
          <w:b/>
          <w:bCs/>
          <w:sz w:val="24"/>
          <w:szCs w:val="24"/>
          <w:rtl/>
          <w:lang w:bidi="ar-IQ"/>
        </w:rPr>
      </w:pPr>
      <w:r w:rsidRPr="002610CF">
        <w:rPr>
          <w:rFonts w:asciiTheme="majorBidi" w:hAnsiTheme="majorBidi" w:cstheme="majorBidi"/>
          <w:b/>
          <w:bCs/>
          <w:sz w:val="24"/>
          <w:szCs w:val="24"/>
        </w:rPr>
        <w:t>Prof. Dr. Aq</w:t>
      </w:r>
      <w:r w:rsidR="002610CF">
        <w:rPr>
          <w:rFonts w:asciiTheme="majorBidi" w:hAnsiTheme="majorBidi" w:cstheme="majorBidi"/>
          <w:b/>
          <w:bCs/>
          <w:sz w:val="24"/>
          <w:szCs w:val="24"/>
        </w:rPr>
        <w:t>ee</w:t>
      </w:r>
      <w:r w:rsidRPr="002610CF">
        <w:rPr>
          <w:rFonts w:asciiTheme="majorBidi" w:hAnsiTheme="majorBidi" w:cstheme="majorBidi"/>
          <w:b/>
          <w:bCs/>
          <w:sz w:val="24"/>
          <w:szCs w:val="24"/>
        </w:rPr>
        <w:t xml:space="preserve">l Shaker Al-Shara </w:t>
      </w:r>
      <w:r w:rsidR="002610CF">
        <w:rPr>
          <w:rFonts w:asciiTheme="majorBidi" w:hAnsiTheme="majorBidi" w:cstheme="majorBidi"/>
          <w:b/>
          <w:bCs/>
          <w:sz w:val="24"/>
          <w:szCs w:val="24"/>
        </w:rPr>
        <w:t xml:space="preserve">                       </w:t>
      </w:r>
      <w:r w:rsidRPr="002610CF">
        <w:rPr>
          <w:rFonts w:asciiTheme="majorBidi" w:hAnsiTheme="majorBidi" w:cstheme="majorBidi"/>
          <w:b/>
          <w:bCs/>
          <w:sz w:val="24"/>
          <w:szCs w:val="24"/>
        </w:rPr>
        <w:t xml:space="preserve">                               Hawraa Ka</w:t>
      </w:r>
      <w:r w:rsidR="0089592B" w:rsidRPr="002610CF">
        <w:rPr>
          <w:rFonts w:asciiTheme="majorBidi" w:hAnsiTheme="majorBidi" w:cstheme="majorBidi"/>
          <w:b/>
          <w:bCs/>
          <w:sz w:val="24"/>
          <w:szCs w:val="24"/>
        </w:rPr>
        <w:t>dhim</w:t>
      </w:r>
      <w:r w:rsidRPr="002610CF">
        <w:rPr>
          <w:rFonts w:asciiTheme="majorBidi" w:hAnsiTheme="majorBidi" w:cstheme="majorBidi"/>
          <w:b/>
          <w:bCs/>
          <w:sz w:val="24"/>
          <w:szCs w:val="24"/>
        </w:rPr>
        <w:t xml:space="preserve"> Jarry</w:t>
      </w:r>
    </w:p>
    <w:p w:rsidR="00C65222" w:rsidRPr="002610CF" w:rsidRDefault="00925906" w:rsidP="00925906">
      <w:pPr>
        <w:jc w:val="center"/>
        <w:rPr>
          <w:rFonts w:asciiTheme="majorBidi" w:hAnsiTheme="majorBidi" w:cstheme="majorBidi"/>
          <w:b/>
          <w:bCs/>
          <w:sz w:val="24"/>
          <w:szCs w:val="24"/>
          <w:rtl/>
          <w:lang w:bidi="ar-IQ"/>
        </w:rPr>
      </w:pPr>
      <w:r w:rsidRPr="002610CF">
        <w:rPr>
          <w:rFonts w:asciiTheme="majorBidi" w:hAnsiTheme="majorBidi" w:cstheme="majorBidi"/>
          <w:b/>
          <w:bCs/>
          <w:sz w:val="24"/>
          <w:szCs w:val="24"/>
        </w:rPr>
        <w:t>Al-Qadisiyah University / College of Administration and Economics</w:t>
      </w:r>
    </w:p>
    <w:p w:rsidR="00930256" w:rsidRDefault="00930256" w:rsidP="00930256">
      <w:pPr>
        <w:spacing w:after="0"/>
        <w:jc w:val="right"/>
        <w:rPr>
          <w:rFonts w:asciiTheme="majorBidi" w:hAnsiTheme="majorBidi" w:cstheme="majorBidi"/>
          <w:b/>
          <w:bCs/>
          <w:sz w:val="24"/>
          <w:szCs w:val="24"/>
          <w:lang w:bidi="ar-IQ"/>
        </w:rPr>
      </w:pPr>
      <w:r w:rsidRPr="002A5D5F">
        <w:rPr>
          <w:rFonts w:asciiTheme="majorBidi" w:hAnsiTheme="majorBidi" w:cstheme="majorBidi"/>
          <w:b/>
          <w:bCs/>
          <w:color w:val="FF0000"/>
          <w:sz w:val="24"/>
          <w:szCs w:val="24"/>
          <w:lang w:bidi="ar-IQ"/>
        </w:rPr>
        <w:t>Abstract</w:t>
      </w:r>
      <w:r>
        <w:rPr>
          <w:rFonts w:asciiTheme="majorBidi" w:hAnsiTheme="majorBidi" w:cstheme="majorBidi"/>
          <w:b/>
          <w:bCs/>
          <w:sz w:val="24"/>
          <w:szCs w:val="24"/>
          <w:lang w:bidi="ar-IQ"/>
        </w:rPr>
        <w:t xml:space="preserve"> :</w:t>
      </w:r>
    </w:p>
    <w:p w:rsidR="00C27C62" w:rsidRPr="00C27C62" w:rsidRDefault="00C27C62" w:rsidP="00930256">
      <w:pPr>
        <w:spacing w:after="0"/>
        <w:jc w:val="right"/>
        <w:rPr>
          <w:rFonts w:asciiTheme="majorBidi" w:hAnsiTheme="majorBidi" w:cstheme="majorBidi"/>
          <w:b/>
          <w:bCs/>
          <w:sz w:val="12"/>
          <w:szCs w:val="12"/>
          <w:rtl/>
          <w:lang w:bidi="ar-IQ"/>
        </w:rPr>
      </w:pPr>
    </w:p>
    <w:p w:rsidR="00930256" w:rsidRPr="00930256" w:rsidRDefault="00930256" w:rsidP="00BD3583">
      <w:pPr>
        <w:bidi w:val="0"/>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930256">
        <w:rPr>
          <w:rFonts w:asciiTheme="majorBidi" w:hAnsiTheme="majorBidi" w:cstheme="majorBidi"/>
          <w:sz w:val="24"/>
          <w:szCs w:val="24"/>
          <w:lang w:bidi="ar-IQ"/>
        </w:rPr>
        <w:t xml:space="preserve">The research aims to clarify the impact of Iraqi Islamic banks </w:t>
      </w:r>
      <w:r w:rsidR="00AB36D5">
        <w:rPr>
          <w:rFonts w:asciiTheme="majorBidi" w:hAnsiTheme="majorBidi" w:cstheme="majorBidi"/>
          <w:sz w:val="24"/>
          <w:szCs w:val="24"/>
          <w:lang w:bidi="ar-IQ"/>
        </w:rPr>
        <w:t>in</w:t>
      </w:r>
      <w:r w:rsidRPr="00930256">
        <w:rPr>
          <w:rFonts w:asciiTheme="majorBidi" w:hAnsiTheme="majorBidi" w:cstheme="majorBidi"/>
          <w:sz w:val="24"/>
          <w:szCs w:val="24"/>
          <w:lang w:bidi="ar-IQ"/>
        </w:rPr>
        <w:t xml:space="preserve"> the Iraqi stock </w:t>
      </w:r>
      <w:r w:rsidR="00BD3583" w:rsidRPr="00BD3583">
        <w:rPr>
          <w:rFonts w:asciiTheme="majorBidi" w:hAnsiTheme="majorBidi" w:cstheme="majorBidi"/>
          <w:sz w:val="24"/>
          <w:szCs w:val="24"/>
          <w:lang w:bidi="ar-IQ"/>
        </w:rPr>
        <w:t>Exchange</w:t>
      </w:r>
      <w:r w:rsidRPr="00930256">
        <w:rPr>
          <w:rFonts w:asciiTheme="majorBidi" w:hAnsiTheme="majorBidi" w:cstheme="majorBidi"/>
          <w:sz w:val="24"/>
          <w:szCs w:val="24"/>
          <w:lang w:bidi="ar-IQ"/>
        </w:rPr>
        <w:t xml:space="preserve">, </w:t>
      </w:r>
      <w:r w:rsidR="00CD2BC8">
        <w:rPr>
          <w:rFonts w:asciiTheme="majorBidi" w:hAnsiTheme="majorBidi" w:cstheme="majorBidi"/>
          <w:sz w:val="24"/>
          <w:szCs w:val="24"/>
          <w:lang w:bidi="ar-IQ"/>
        </w:rPr>
        <w:t>the</w:t>
      </w:r>
      <w:r w:rsidRPr="00930256">
        <w:rPr>
          <w:rFonts w:asciiTheme="majorBidi" w:hAnsiTheme="majorBidi" w:cstheme="majorBidi"/>
          <w:sz w:val="24"/>
          <w:szCs w:val="24"/>
          <w:lang w:bidi="ar-IQ"/>
        </w:rPr>
        <w:t xml:space="preserve"> Islamic banks witnessed a great development and wide spread in multiple Islamic countries and others, as a result of several factors, including: openness to the global economy, structural reforms in the financial system, liberalization of capital movement and integration This was reflected in the high growth rate of deposits, assets and profit rates for these institutions. The researchers measured the effect of the market value </w:t>
      </w:r>
      <w:r w:rsidR="00B272C9">
        <w:rPr>
          <w:rFonts w:asciiTheme="majorBidi" w:hAnsiTheme="majorBidi" w:cstheme="majorBidi"/>
          <w:sz w:val="24"/>
          <w:szCs w:val="24"/>
          <w:lang w:bidi="ar-IQ"/>
        </w:rPr>
        <w:t xml:space="preserve">indicator </w:t>
      </w:r>
      <w:r w:rsidRPr="00930256">
        <w:rPr>
          <w:rFonts w:asciiTheme="majorBidi" w:hAnsiTheme="majorBidi" w:cstheme="majorBidi"/>
          <w:sz w:val="24"/>
          <w:szCs w:val="24"/>
          <w:lang w:bidi="ar-IQ"/>
        </w:rPr>
        <w:t xml:space="preserve">and the trading </w:t>
      </w:r>
      <w:r w:rsidR="00D64C0D">
        <w:rPr>
          <w:rFonts w:asciiTheme="majorBidi" w:hAnsiTheme="majorBidi" w:cstheme="majorBidi"/>
          <w:sz w:val="24"/>
          <w:szCs w:val="24"/>
          <w:lang w:bidi="ar-IQ"/>
        </w:rPr>
        <w:t>value</w:t>
      </w:r>
      <w:r w:rsidR="00D64C0D" w:rsidRPr="00930256">
        <w:rPr>
          <w:rFonts w:asciiTheme="majorBidi" w:hAnsiTheme="majorBidi" w:cstheme="majorBidi"/>
          <w:sz w:val="24"/>
          <w:szCs w:val="24"/>
          <w:lang w:bidi="ar-IQ"/>
        </w:rPr>
        <w:t xml:space="preserve"> </w:t>
      </w:r>
      <w:r w:rsidRPr="00930256">
        <w:rPr>
          <w:rFonts w:asciiTheme="majorBidi" w:hAnsiTheme="majorBidi" w:cstheme="majorBidi"/>
          <w:sz w:val="24"/>
          <w:szCs w:val="24"/>
          <w:lang w:bidi="ar-IQ"/>
        </w:rPr>
        <w:t xml:space="preserve">of Islamic banks contributing in the market to the market capitalization and trading </w:t>
      </w:r>
      <w:r w:rsidR="00D64C0D">
        <w:rPr>
          <w:rFonts w:asciiTheme="majorBidi" w:hAnsiTheme="majorBidi" w:cstheme="majorBidi"/>
          <w:sz w:val="24"/>
          <w:szCs w:val="24"/>
          <w:lang w:bidi="ar-IQ"/>
        </w:rPr>
        <w:t>value</w:t>
      </w:r>
      <w:r w:rsidR="00D64C0D" w:rsidRPr="00930256">
        <w:rPr>
          <w:rFonts w:asciiTheme="majorBidi" w:hAnsiTheme="majorBidi" w:cstheme="majorBidi"/>
          <w:sz w:val="24"/>
          <w:szCs w:val="24"/>
          <w:lang w:bidi="ar-IQ"/>
        </w:rPr>
        <w:t xml:space="preserve"> </w:t>
      </w:r>
      <w:r w:rsidRPr="00930256">
        <w:rPr>
          <w:rFonts w:asciiTheme="majorBidi" w:hAnsiTheme="majorBidi" w:cstheme="majorBidi"/>
          <w:sz w:val="24"/>
          <w:szCs w:val="24"/>
          <w:lang w:bidi="ar-IQ"/>
        </w:rPr>
        <w:t xml:space="preserve">indicators of the Iraq Stock Exchange using the (SPSS 22) program. The researchers concluded that there is a positive impact of Islamic banks in the Iraqi stock market, as the ratio of the Islamic banks’ indices to the total indices of the Iraq Stock Exchange increased during the study period, as the ratio of the market value index of Islamic banks to the total market value of the Iraq Stock Exchange was (26.48%). And the trading </w:t>
      </w:r>
      <w:r w:rsidR="00D64C0D">
        <w:rPr>
          <w:rFonts w:asciiTheme="majorBidi" w:hAnsiTheme="majorBidi" w:cstheme="majorBidi"/>
          <w:sz w:val="24"/>
          <w:szCs w:val="24"/>
          <w:lang w:bidi="ar-IQ"/>
        </w:rPr>
        <w:t>value</w:t>
      </w:r>
      <w:r w:rsidRPr="00930256">
        <w:rPr>
          <w:rFonts w:asciiTheme="majorBidi" w:hAnsiTheme="majorBidi" w:cstheme="majorBidi"/>
          <w:sz w:val="24"/>
          <w:szCs w:val="24"/>
          <w:lang w:bidi="ar-IQ"/>
        </w:rPr>
        <w:t xml:space="preserve"> </w:t>
      </w:r>
      <w:r w:rsidR="00D64C0D">
        <w:rPr>
          <w:rFonts w:asciiTheme="majorBidi" w:hAnsiTheme="majorBidi" w:cstheme="majorBidi"/>
          <w:sz w:val="24"/>
          <w:szCs w:val="24"/>
          <w:lang w:bidi="ar-IQ"/>
        </w:rPr>
        <w:t>indicator</w:t>
      </w:r>
      <w:r w:rsidR="00D64C0D" w:rsidRPr="00930256">
        <w:rPr>
          <w:rFonts w:asciiTheme="majorBidi" w:hAnsiTheme="majorBidi" w:cstheme="majorBidi"/>
          <w:sz w:val="24"/>
          <w:szCs w:val="24"/>
          <w:lang w:bidi="ar-IQ"/>
        </w:rPr>
        <w:t xml:space="preserve"> </w:t>
      </w:r>
      <w:r w:rsidRPr="00930256">
        <w:rPr>
          <w:rFonts w:asciiTheme="majorBidi" w:hAnsiTheme="majorBidi" w:cstheme="majorBidi"/>
          <w:sz w:val="24"/>
          <w:szCs w:val="24"/>
          <w:lang w:bidi="ar-IQ"/>
        </w:rPr>
        <w:t xml:space="preserve">was (92.95%), and these </w:t>
      </w:r>
      <w:r w:rsidR="00CD2BC8">
        <w:rPr>
          <w:rFonts w:asciiTheme="majorBidi" w:hAnsiTheme="majorBidi" w:cstheme="majorBidi"/>
          <w:sz w:val="24"/>
          <w:szCs w:val="24"/>
          <w:lang w:bidi="ar-IQ"/>
        </w:rPr>
        <w:t>rates</w:t>
      </w:r>
      <w:r w:rsidRPr="00930256">
        <w:rPr>
          <w:rFonts w:asciiTheme="majorBidi" w:hAnsiTheme="majorBidi" w:cstheme="majorBidi"/>
          <w:sz w:val="24"/>
          <w:szCs w:val="24"/>
          <w:lang w:bidi="ar-IQ"/>
        </w:rPr>
        <w:t xml:space="preserve"> are for the year 2018, and they increased significantly from what they were at the beginning of the study period, which confirms the increase in the number of banks, the increase in their activity and their impact on the market. The researchers recommended facilitating the process of inclusion of Islamic banks in the Iraqi Stock Exchange and encouraging them to trade their shares in the market, which contributes to increasing their role in the Iraqi Stock Exchange</w:t>
      </w:r>
      <w:r w:rsidRPr="00930256">
        <w:rPr>
          <w:rFonts w:asciiTheme="majorBidi" w:hAnsiTheme="majorBidi" w:cs="Times New Roman"/>
          <w:sz w:val="24"/>
          <w:szCs w:val="24"/>
          <w:rtl/>
          <w:lang w:bidi="ar-IQ"/>
        </w:rPr>
        <w:t>.</w:t>
      </w:r>
    </w:p>
    <w:p w:rsidR="00930256" w:rsidRDefault="00930256" w:rsidP="002A5D5F">
      <w:pPr>
        <w:jc w:val="right"/>
        <w:rPr>
          <w:rFonts w:asciiTheme="majorBidi" w:hAnsiTheme="majorBidi" w:cstheme="majorBidi"/>
          <w:sz w:val="24"/>
          <w:szCs w:val="24"/>
          <w:rtl/>
          <w:lang w:bidi="ar-IQ"/>
        </w:rPr>
      </w:pPr>
      <w:r w:rsidRPr="002A5D5F">
        <w:rPr>
          <w:rFonts w:asciiTheme="majorBidi" w:hAnsiTheme="majorBidi" w:cstheme="majorBidi"/>
          <w:b/>
          <w:bCs/>
          <w:color w:val="FF0000"/>
          <w:sz w:val="24"/>
          <w:szCs w:val="24"/>
          <w:lang w:bidi="ar-IQ"/>
        </w:rPr>
        <w:t>Key words</w:t>
      </w:r>
      <w:r w:rsidR="002A5D5F">
        <w:rPr>
          <w:rFonts w:asciiTheme="majorBidi" w:hAnsiTheme="majorBidi" w:cstheme="majorBidi"/>
          <w:b/>
          <w:bCs/>
          <w:sz w:val="24"/>
          <w:szCs w:val="24"/>
          <w:lang w:bidi="ar-IQ"/>
        </w:rPr>
        <w:t xml:space="preserve"> </w:t>
      </w:r>
      <w:r w:rsidRPr="00C27C62">
        <w:rPr>
          <w:rFonts w:asciiTheme="majorBidi" w:hAnsiTheme="majorBidi" w:cstheme="majorBidi"/>
          <w:b/>
          <w:bCs/>
          <w:sz w:val="24"/>
          <w:szCs w:val="24"/>
          <w:lang w:bidi="ar-IQ"/>
        </w:rPr>
        <w:t xml:space="preserve">: </w:t>
      </w:r>
      <w:r w:rsidRPr="00C27C62">
        <w:rPr>
          <w:rFonts w:asciiTheme="majorBidi" w:hAnsiTheme="majorBidi" w:cstheme="majorBidi"/>
          <w:sz w:val="24"/>
          <w:szCs w:val="24"/>
          <w:lang w:bidi="ar-IQ"/>
        </w:rPr>
        <w:t xml:space="preserve">Islamic banks, Iraq stock exchange, market value </w:t>
      </w:r>
      <w:r w:rsidR="00CD2BC8">
        <w:rPr>
          <w:rFonts w:asciiTheme="majorBidi" w:hAnsiTheme="majorBidi" w:cstheme="majorBidi"/>
          <w:sz w:val="24"/>
          <w:szCs w:val="24"/>
          <w:lang w:bidi="ar-IQ"/>
        </w:rPr>
        <w:t>indicator</w:t>
      </w:r>
      <w:r w:rsidRPr="00C27C62">
        <w:rPr>
          <w:rFonts w:asciiTheme="majorBidi" w:hAnsiTheme="majorBidi" w:cstheme="majorBidi"/>
          <w:sz w:val="24"/>
          <w:szCs w:val="24"/>
          <w:lang w:bidi="ar-IQ"/>
        </w:rPr>
        <w:t xml:space="preserve">, trading </w:t>
      </w:r>
      <w:r w:rsidR="00D64C0D">
        <w:rPr>
          <w:rFonts w:asciiTheme="majorBidi" w:hAnsiTheme="majorBidi" w:cstheme="majorBidi"/>
          <w:sz w:val="24"/>
          <w:szCs w:val="24"/>
          <w:lang w:bidi="ar-IQ"/>
        </w:rPr>
        <w:t>value</w:t>
      </w:r>
      <w:r w:rsidR="00D64C0D" w:rsidRPr="00930256">
        <w:rPr>
          <w:rFonts w:asciiTheme="majorBidi" w:hAnsiTheme="majorBidi" w:cstheme="majorBidi"/>
          <w:sz w:val="24"/>
          <w:szCs w:val="24"/>
          <w:lang w:bidi="ar-IQ"/>
        </w:rPr>
        <w:t xml:space="preserve"> </w:t>
      </w:r>
      <w:r w:rsidR="00CD2BC8">
        <w:rPr>
          <w:rFonts w:asciiTheme="majorBidi" w:hAnsiTheme="majorBidi" w:cstheme="majorBidi"/>
          <w:sz w:val="24"/>
          <w:szCs w:val="24"/>
          <w:lang w:bidi="ar-IQ"/>
        </w:rPr>
        <w:t>indicator .</w:t>
      </w:r>
      <w:r w:rsidR="00CD2BC8">
        <w:rPr>
          <w:rFonts w:asciiTheme="majorBidi" w:hAnsiTheme="majorBidi" w:cstheme="majorBidi" w:hint="cs"/>
          <w:sz w:val="24"/>
          <w:szCs w:val="24"/>
          <w:rtl/>
          <w:lang w:bidi="ar-IQ"/>
        </w:rPr>
        <w:t xml:space="preserve"> </w:t>
      </w:r>
    </w:p>
    <w:p w:rsidR="0089592B" w:rsidRPr="002A5D5F" w:rsidRDefault="0089592B" w:rsidP="0089592B">
      <w:pPr>
        <w:pStyle w:val="a3"/>
        <w:spacing w:after="0" w:line="360" w:lineRule="auto"/>
        <w:ind w:left="26"/>
        <w:jc w:val="both"/>
        <w:rPr>
          <w:rFonts w:ascii="Times New Roman" w:hAnsi="Times New Roman" w:cs="Times New Roman" w:hint="cs"/>
          <w:b/>
          <w:bCs/>
          <w:sz w:val="8"/>
          <w:szCs w:val="8"/>
          <w:rtl/>
          <w:lang w:bidi="ar-IQ"/>
        </w:rPr>
      </w:pPr>
    </w:p>
    <w:p w:rsidR="00F667BD" w:rsidRPr="00925906" w:rsidRDefault="00F667BD" w:rsidP="00F667BD">
      <w:pPr>
        <w:bidi w:val="0"/>
        <w:jc w:val="mediumKashida"/>
        <w:rPr>
          <w:rFonts w:asciiTheme="majorBidi" w:hAnsiTheme="majorBidi" w:cstheme="majorBidi"/>
          <w:b/>
          <w:bCs/>
          <w:sz w:val="24"/>
          <w:szCs w:val="24"/>
          <w:lang w:bidi="ar-IQ"/>
        </w:rPr>
      </w:pPr>
      <w:r w:rsidRPr="002A5D5F">
        <w:rPr>
          <w:rFonts w:asciiTheme="majorBidi" w:hAnsiTheme="majorBidi" w:cstheme="majorBidi"/>
          <w:b/>
          <w:bCs/>
          <w:color w:val="FF0000"/>
          <w:sz w:val="24"/>
          <w:szCs w:val="24"/>
          <w:lang w:bidi="ar-IQ"/>
        </w:rPr>
        <w:t>Introduction</w:t>
      </w:r>
      <w:r w:rsidRPr="00925906">
        <w:rPr>
          <w:rFonts w:asciiTheme="majorBidi" w:hAnsiTheme="majorBidi" w:cs="Times New Roman"/>
          <w:b/>
          <w:bCs/>
          <w:sz w:val="24"/>
          <w:szCs w:val="24"/>
          <w:rtl/>
          <w:lang w:bidi="ar-IQ"/>
        </w:rPr>
        <w:t xml:space="preserve"> </w:t>
      </w:r>
      <w:r w:rsidRPr="00925906">
        <w:rPr>
          <w:rFonts w:asciiTheme="majorBidi" w:hAnsiTheme="majorBidi" w:cs="Times New Roman"/>
          <w:b/>
          <w:bCs/>
          <w:sz w:val="24"/>
          <w:szCs w:val="24"/>
          <w:lang w:bidi="ar-IQ"/>
        </w:rPr>
        <w:t>:</w:t>
      </w:r>
    </w:p>
    <w:p w:rsidR="00C27C62" w:rsidRPr="00022949" w:rsidRDefault="00C27C62" w:rsidP="00C27C62">
      <w:pPr>
        <w:bidi w:val="0"/>
        <w:jc w:val="mediumKashida"/>
        <w:rPr>
          <w:rFonts w:asciiTheme="majorBidi" w:hAnsiTheme="majorBidi" w:cstheme="majorBidi"/>
          <w:sz w:val="24"/>
          <w:szCs w:val="24"/>
          <w:lang w:bidi="ar-IQ"/>
        </w:rPr>
      </w:pPr>
      <w:r w:rsidRPr="00022949">
        <w:rPr>
          <w:rFonts w:asciiTheme="majorBidi" w:hAnsiTheme="majorBidi" w:cstheme="majorBidi"/>
          <w:sz w:val="24"/>
          <w:szCs w:val="24"/>
          <w:lang w:bidi="ar-IQ"/>
        </w:rPr>
        <w:t xml:space="preserve">      Islamic banks are considered one of the most important achievements of the contemporary Islamic economy in the field of economic activity. Money is one of the necessities of life and its strength, and it must be sought and developed, and that Islam established a basic rule and a rule specific to money in earning, owning, producing, consuming and developing. In light of the growing role of these banks, the expansion of their spread and the large volume of their transactions that adhere to the principles of Islamic Sharia, as they collect state savings through their financing and investment function. Since their investment tools are many and varied, Islamic investment funds are considered the most important results of this diversity and diversity as an effective means of accumulating savings and attracting local and foreign capital, putting them at the service of construction and </w:t>
      </w:r>
      <w:r w:rsidRPr="00022949">
        <w:rPr>
          <w:rFonts w:asciiTheme="majorBidi" w:hAnsiTheme="majorBidi" w:cstheme="majorBidi"/>
          <w:sz w:val="24"/>
          <w:szCs w:val="24"/>
          <w:lang w:bidi="ar-IQ"/>
        </w:rPr>
        <w:lastRenderedPageBreak/>
        <w:t>development projects, and providing investment opportunities for small savers and investors who do not have sufficient financial resources or lack the Experience and knowledge of portfolio management. Especially from securities, where Islamic investment funds contribute to stimulating the movement of the stock exchange through what they offer of investment tools that are compatible with the provisions of Islamic Sharia, which leads to an increase in the efficiency of this market.</w:t>
      </w:r>
    </w:p>
    <w:p w:rsidR="00625294" w:rsidRPr="002A5D5F" w:rsidRDefault="003F0D44" w:rsidP="00625294">
      <w:pPr>
        <w:bidi w:val="0"/>
        <w:jc w:val="mediumKashida"/>
        <w:rPr>
          <w:rFonts w:asciiTheme="majorBidi" w:hAnsiTheme="majorBidi" w:cstheme="majorBidi"/>
          <w:b/>
          <w:bCs/>
          <w:color w:val="FF0000"/>
          <w:sz w:val="24"/>
          <w:szCs w:val="24"/>
          <w:lang w:bidi="ar-IQ"/>
        </w:rPr>
      </w:pPr>
      <w:r w:rsidRPr="002A5D5F">
        <w:rPr>
          <w:rFonts w:asciiTheme="majorBidi" w:hAnsiTheme="majorBidi" w:cstheme="majorBidi"/>
          <w:b/>
          <w:bCs/>
          <w:color w:val="FF0000"/>
          <w:sz w:val="24"/>
          <w:szCs w:val="24"/>
          <w:lang w:bidi="ar-IQ"/>
        </w:rPr>
        <w:t>R</w:t>
      </w:r>
      <w:r w:rsidR="00625294" w:rsidRPr="002A5D5F">
        <w:rPr>
          <w:rFonts w:asciiTheme="majorBidi" w:hAnsiTheme="majorBidi" w:cstheme="majorBidi"/>
          <w:b/>
          <w:bCs/>
          <w:color w:val="FF0000"/>
          <w:sz w:val="24"/>
          <w:szCs w:val="24"/>
          <w:lang w:bidi="ar-IQ"/>
        </w:rPr>
        <w:t>esearch</w:t>
      </w:r>
      <w:r w:rsidRPr="002A5D5F">
        <w:rPr>
          <w:rFonts w:asciiTheme="majorBidi" w:hAnsiTheme="majorBidi" w:cstheme="majorBidi" w:hint="cs"/>
          <w:b/>
          <w:bCs/>
          <w:color w:val="FF0000"/>
          <w:sz w:val="24"/>
          <w:szCs w:val="24"/>
          <w:rtl/>
          <w:lang w:bidi="ar-IQ"/>
        </w:rPr>
        <w:t>‘</w:t>
      </w:r>
      <w:r w:rsidRPr="002A5D5F">
        <w:rPr>
          <w:rFonts w:asciiTheme="majorBidi" w:hAnsiTheme="majorBidi" w:cstheme="majorBidi"/>
          <w:b/>
          <w:bCs/>
          <w:color w:val="FF0000"/>
          <w:sz w:val="24"/>
          <w:szCs w:val="24"/>
          <w:lang w:bidi="ar-IQ"/>
        </w:rPr>
        <w:t>s</w:t>
      </w:r>
      <w:r w:rsidR="00625294" w:rsidRPr="002A5D5F">
        <w:rPr>
          <w:rFonts w:asciiTheme="majorBidi" w:hAnsiTheme="majorBidi" w:cstheme="majorBidi"/>
          <w:b/>
          <w:bCs/>
          <w:color w:val="FF0000"/>
          <w:sz w:val="24"/>
          <w:szCs w:val="24"/>
          <w:lang w:bidi="ar-IQ"/>
        </w:rPr>
        <w:t xml:space="preserve"> importance :</w:t>
      </w:r>
    </w:p>
    <w:p w:rsidR="00625294" w:rsidRPr="00625294" w:rsidRDefault="00625294" w:rsidP="00625294">
      <w:pPr>
        <w:bidi w:val="0"/>
        <w:jc w:val="mediumKashida"/>
        <w:rPr>
          <w:rFonts w:asciiTheme="majorBidi" w:hAnsiTheme="majorBidi" w:cstheme="majorBidi"/>
          <w:sz w:val="24"/>
          <w:szCs w:val="24"/>
          <w:lang w:bidi="ar-IQ"/>
        </w:rPr>
      </w:pPr>
      <w:r w:rsidRPr="00625294">
        <w:rPr>
          <w:rFonts w:asciiTheme="majorBidi" w:hAnsiTheme="majorBidi" w:cstheme="majorBidi"/>
          <w:sz w:val="24"/>
          <w:szCs w:val="24"/>
          <w:lang w:bidi="ar-IQ"/>
        </w:rPr>
        <w:t xml:space="preserve">      The importance of the research comes from the fact that Islamic banks have become the most prominent event in the Islamic, Arab and even international banking arena in recent years, and there is no doubt that the success of the performance of the work of these banks is a matter of interest to all Muslims. It is considered the real entity for its establishment, success and continuity.</w:t>
      </w:r>
    </w:p>
    <w:p w:rsidR="00625294" w:rsidRPr="00625294" w:rsidRDefault="00625294" w:rsidP="00625294">
      <w:pPr>
        <w:bidi w:val="0"/>
        <w:jc w:val="mediumKashida"/>
        <w:rPr>
          <w:rFonts w:asciiTheme="majorBidi" w:hAnsiTheme="majorBidi" w:cstheme="majorBidi"/>
          <w:sz w:val="24"/>
          <w:szCs w:val="24"/>
          <w:lang w:bidi="ar-IQ"/>
        </w:rPr>
      </w:pPr>
      <w:r w:rsidRPr="00625294">
        <w:rPr>
          <w:rFonts w:asciiTheme="majorBidi" w:hAnsiTheme="majorBidi" w:cstheme="majorBidi"/>
          <w:sz w:val="24"/>
          <w:szCs w:val="24"/>
          <w:lang w:bidi="ar-IQ"/>
        </w:rPr>
        <w:t xml:space="preserve">      As for markets, they are an important and rapid channel in financing economic operations for all economies, whether developed or developing ones. Therefore, they are of great interest to all those interested, whether they are decision makers, researchers or others.</w:t>
      </w:r>
    </w:p>
    <w:p w:rsidR="00625294" w:rsidRPr="002A5D5F" w:rsidRDefault="00625294" w:rsidP="00625294">
      <w:pPr>
        <w:bidi w:val="0"/>
        <w:jc w:val="mediumKashida"/>
        <w:rPr>
          <w:rFonts w:asciiTheme="majorBidi" w:hAnsiTheme="majorBidi" w:cstheme="majorBidi"/>
          <w:b/>
          <w:bCs/>
          <w:color w:val="FF0000"/>
          <w:sz w:val="24"/>
          <w:szCs w:val="24"/>
          <w:lang w:bidi="ar-IQ"/>
        </w:rPr>
      </w:pPr>
      <w:r w:rsidRPr="002A5D5F">
        <w:rPr>
          <w:rFonts w:asciiTheme="majorBidi" w:hAnsiTheme="majorBidi" w:cstheme="majorBidi"/>
          <w:b/>
          <w:bCs/>
          <w:color w:val="FF0000"/>
          <w:sz w:val="24"/>
          <w:szCs w:val="24"/>
          <w:lang w:bidi="ar-IQ"/>
        </w:rPr>
        <w:t>Research</w:t>
      </w:r>
      <w:r w:rsidR="003F0D44" w:rsidRPr="002A5D5F">
        <w:rPr>
          <w:rFonts w:asciiTheme="majorBidi" w:hAnsiTheme="majorBidi" w:cstheme="majorBidi" w:hint="cs"/>
          <w:b/>
          <w:bCs/>
          <w:color w:val="FF0000"/>
          <w:sz w:val="24"/>
          <w:szCs w:val="24"/>
          <w:rtl/>
          <w:lang w:bidi="ar-IQ"/>
        </w:rPr>
        <w:t>‘</w:t>
      </w:r>
      <w:r w:rsidR="003F0D44" w:rsidRPr="002A5D5F">
        <w:rPr>
          <w:rFonts w:asciiTheme="majorBidi" w:hAnsiTheme="majorBidi" w:cstheme="majorBidi"/>
          <w:b/>
          <w:bCs/>
          <w:color w:val="FF0000"/>
          <w:sz w:val="24"/>
          <w:szCs w:val="24"/>
          <w:lang w:bidi="ar-IQ"/>
        </w:rPr>
        <w:t>s</w:t>
      </w:r>
      <w:r w:rsidRPr="002A5D5F">
        <w:rPr>
          <w:rFonts w:asciiTheme="majorBidi" w:hAnsiTheme="majorBidi" w:cstheme="majorBidi"/>
          <w:b/>
          <w:bCs/>
          <w:color w:val="FF0000"/>
          <w:sz w:val="24"/>
          <w:szCs w:val="24"/>
          <w:lang w:bidi="ar-IQ"/>
        </w:rPr>
        <w:t xml:space="preserve"> problem :</w:t>
      </w:r>
    </w:p>
    <w:p w:rsidR="00200DE0" w:rsidRPr="00200DE0" w:rsidRDefault="00200DE0" w:rsidP="003F0D44">
      <w:pPr>
        <w:bidi w:val="0"/>
        <w:jc w:val="mediumKashida"/>
        <w:rPr>
          <w:rFonts w:asciiTheme="majorBidi" w:hAnsiTheme="majorBidi" w:cstheme="majorBidi"/>
          <w:sz w:val="24"/>
          <w:szCs w:val="24"/>
          <w:lang w:bidi="ar-IQ"/>
        </w:rPr>
      </w:pPr>
      <w:r w:rsidRPr="00200DE0">
        <w:rPr>
          <w:rFonts w:asciiTheme="majorBidi" w:hAnsiTheme="majorBidi" w:cstheme="majorBidi"/>
          <w:sz w:val="24"/>
          <w:szCs w:val="24"/>
          <w:lang w:bidi="ar-IQ"/>
        </w:rPr>
        <w:t xml:space="preserve">The </w:t>
      </w:r>
      <w:r w:rsidR="003F0D44" w:rsidRPr="003F0D44">
        <w:rPr>
          <w:rFonts w:asciiTheme="majorBidi" w:hAnsiTheme="majorBidi" w:cstheme="majorBidi"/>
          <w:sz w:val="24"/>
          <w:szCs w:val="24"/>
          <w:lang w:bidi="ar-IQ"/>
        </w:rPr>
        <w:t>research</w:t>
      </w:r>
      <w:r w:rsidR="003F0D44">
        <w:rPr>
          <w:rFonts w:asciiTheme="majorBidi" w:hAnsiTheme="majorBidi" w:cstheme="majorBidi" w:hint="cs"/>
          <w:b/>
          <w:bCs/>
          <w:sz w:val="24"/>
          <w:szCs w:val="24"/>
          <w:rtl/>
          <w:lang w:bidi="ar-IQ"/>
        </w:rPr>
        <w:t>‘</w:t>
      </w:r>
      <w:r w:rsidR="003F0D44">
        <w:rPr>
          <w:rFonts w:asciiTheme="majorBidi" w:hAnsiTheme="majorBidi" w:cstheme="majorBidi"/>
          <w:b/>
          <w:bCs/>
          <w:sz w:val="24"/>
          <w:szCs w:val="24"/>
          <w:lang w:bidi="ar-IQ"/>
        </w:rPr>
        <w:t>s</w:t>
      </w:r>
      <w:r w:rsidR="003F0D44" w:rsidRPr="00F667BD">
        <w:rPr>
          <w:rFonts w:asciiTheme="majorBidi" w:hAnsiTheme="majorBidi" w:cstheme="majorBidi"/>
          <w:b/>
          <w:bCs/>
          <w:sz w:val="24"/>
          <w:szCs w:val="24"/>
          <w:lang w:bidi="ar-IQ"/>
        </w:rPr>
        <w:t xml:space="preserve"> </w:t>
      </w:r>
      <w:r w:rsidRPr="00200DE0">
        <w:rPr>
          <w:rFonts w:asciiTheme="majorBidi" w:hAnsiTheme="majorBidi" w:cstheme="majorBidi"/>
          <w:sz w:val="24"/>
          <w:szCs w:val="24"/>
          <w:lang w:bidi="ar-IQ"/>
        </w:rPr>
        <w:t>problem lies in two main problems:</w:t>
      </w:r>
    </w:p>
    <w:p w:rsidR="00200DE0" w:rsidRPr="00200DE0" w:rsidRDefault="00200DE0" w:rsidP="00A34BF7">
      <w:pPr>
        <w:bidi w:val="0"/>
        <w:jc w:val="mediumKashida"/>
        <w:rPr>
          <w:rFonts w:asciiTheme="majorBidi" w:hAnsiTheme="majorBidi" w:cstheme="majorBidi"/>
          <w:sz w:val="24"/>
          <w:szCs w:val="24"/>
          <w:lang w:bidi="ar-IQ"/>
        </w:rPr>
      </w:pPr>
      <w:r w:rsidRPr="00200DE0">
        <w:rPr>
          <w:rFonts w:asciiTheme="majorBidi" w:hAnsiTheme="majorBidi" w:cstheme="majorBidi"/>
          <w:sz w:val="24"/>
          <w:szCs w:val="24"/>
          <w:lang w:bidi="ar-IQ"/>
        </w:rPr>
        <w:t xml:space="preserve">1- Is there an impact of the </w:t>
      </w:r>
      <w:r w:rsidR="00A34BF7" w:rsidRPr="00A34BF7">
        <w:rPr>
          <w:rFonts w:asciiTheme="majorBidi" w:hAnsiTheme="majorBidi" w:cstheme="majorBidi"/>
          <w:sz w:val="24"/>
          <w:szCs w:val="24"/>
          <w:lang w:bidi="ar-IQ"/>
        </w:rPr>
        <w:t>market value indicator</w:t>
      </w:r>
      <w:r w:rsidR="00A34BF7">
        <w:rPr>
          <w:rFonts w:asciiTheme="majorBidi" w:hAnsiTheme="majorBidi" w:cstheme="majorBidi"/>
          <w:sz w:val="24"/>
          <w:szCs w:val="24"/>
          <w:lang w:bidi="ar-IQ"/>
        </w:rPr>
        <w:t xml:space="preserve"> </w:t>
      </w:r>
      <w:r w:rsidRPr="00200DE0">
        <w:rPr>
          <w:rFonts w:asciiTheme="majorBidi" w:hAnsiTheme="majorBidi" w:cstheme="majorBidi"/>
          <w:sz w:val="24"/>
          <w:szCs w:val="24"/>
          <w:lang w:bidi="ar-IQ"/>
        </w:rPr>
        <w:t>of Islamic banks in the market value index of the Iraq Stock Exchange.</w:t>
      </w:r>
    </w:p>
    <w:p w:rsidR="00200DE0" w:rsidRDefault="00200DE0" w:rsidP="00A34BF7">
      <w:pPr>
        <w:bidi w:val="0"/>
        <w:jc w:val="mediumKashida"/>
        <w:rPr>
          <w:rFonts w:asciiTheme="majorBidi" w:hAnsiTheme="majorBidi" w:cstheme="majorBidi"/>
          <w:b/>
          <w:bCs/>
          <w:sz w:val="24"/>
          <w:szCs w:val="24"/>
          <w:lang w:bidi="ar-IQ"/>
        </w:rPr>
      </w:pPr>
      <w:r w:rsidRPr="00200DE0">
        <w:rPr>
          <w:rFonts w:asciiTheme="majorBidi" w:hAnsiTheme="majorBidi" w:cstheme="majorBidi"/>
          <w:sz w:val="24"/>
          <w:szCs w:val="24"/>
          <w:lang w:bidi="ar-IQ"/>
        </w:rPr>
        <w:t>2- Is ther</w:t>
      </w:r>
      <w:r w:rsidR="00A34BF7">
        <w:rPr>
          <w:rFonts w:asciiTheme="majorBidi" w:hAnsiTheme="majorBidi" w:cstheme="majorBidi"/>
          <w:sz w:val="24"/>
          <w:szCs w:val="24"/>
          <w:lang w:bidi="ar-IQ"/>
        </w:rPr>
        <w:t xml:space="preserve">e an impact of the trading </w:t>
      </w:r>
      <w:r w:rsidR="008125BC">
        <w:rPr>
          <w:rFonts w:asciiTheme="majorBidi" w:hAnsiTheme="majorBidi" w:cstheme="majorBidi"/>
          <w:sz w:val="24"/>
          <w:szCs w:val="24"/>
          <w:lang w:bidi="ar-IQ"/>
        </w:rPr>
        <w:t>valu</w:t>
      </w:r>
      <w:r w:rsidR="008125BC" w:rsidRPr="00200DE0">
        <w:rPr>
          <w:rFonts w:asciiTheme="majorBidi" w:hAnsiTheme="majorBidi" w:cstheme="majorBidi"/>
          <w:sz w:val="24"/>
          <w:szCs w:val="24"/>
          <w:lang w:bidi="ar-IQ"/>
        </w:rPr>
        <w:t>e</w:t>
      </w:r>
      <w:r w:rsidRPr="00200DE0">
        <w:rPr>
          <w:rFonts w:asciiTheme="majorBidi" w:hAnsiTheme="majorBidi" w:cstheme="majorBidi"/>
          <w:sz w:val="24"/>
          <w:szCs w:val="24"/>
          <w:lang w:bidi="ar-IQ"/>
        </w:rPr>
        <w:t xml:space="preserve"> </w:t>
      </w:r>
      <w:r w:rsidR="00A34BF7" w:rsidRPr="00A34BF7">
        <w:rPr>
          <w:rFonts w:asciiTheme="majorBidi" w:hAnsiTheme="majorBidi" w:cstheme="majorBidi"/>
          <w:sz w:val="24"/>
          <w:szCs w:val="24"/>
          <w:lang w:bidi="ar-IQ"/>
        </w:rPr>
        <w:t>indicator</w:t>
      </w:r>
      <w:r w:rsidR="00A34BF7">
        <w:rPr>
          <w:rFonts w:asciiTheme="majorBidi" w:hAnsiTheme="majorBidi" w:cstheme="majorBidi"/>
          <w:sz w:val="24"/>
          <w:szCs w:val="24"/>
          <w:lang w:bidi="ar-IQ"/>
        </w:rPr>
        <w:t xml:space="preserve"> </w:t>
      </w:r>
      <w:r w:rsidRPr="00200DE0">
        <w:rPr>
          <w:rFonts w:asciiTheme="majorBidi" w:hAnsiTheme="majorBidi" w:cstheme="majorBidi"/>
          <w:sz w:val="24"/>
          <w:szCs w:val="24"/>
          <w:lang w:bidi="ar-IQ"/>
        </w:rPr>
        <w:t>for Is</w:t>
      </w:r>
      <w:r w:rsidR="00A34BF7">
        <w:rPr>
          <w:rFonts w:asciiTheme="majorBidi" w:hAnsiTheme="majorBidi" w:cstheme="majorBidi"/>
          <w:sz w:val="24"/>
          <w:szCs w:val="24"/>
          <w:lang w:bidi="ar-IQ"/>
        </w:rPr>
        <w:t xml:space="preserve">lamic banks in the trading </w:t>
      </w:r>
      <w:r w:rsidR="008125BC">
        <w:rPr>
          <w:rFonts w:asciiTheme="majorBidi" w:hAnsiTheme="majorBidi" w:cstheme="majorBidi"/>
          <w:sz w:val="24"/>
          <w:szCs w:val="24"/>
          <w:lang w:bidi="ar-IQ"/>
        </w:rPr>
        <w:t>valu</w:t>
      </w:r>
      <w:r w:rsidR="008125BC" w:rsidRPr="00200DE0">
        <w:rPr>
          <w:rFonts w:asciiTheme="majorBidi" w:hAnsiTheme="majorBidi" w:cstheme="majorBidi"/>
          <w:sz w:val="24"/>
          <w:szCs w:val="24"/>
          <w:lang w:bidi="ar-IQ"/>
        </w:rPr>
        <w:t>e</w:t>
      </w:r>
      <w:r w:rsidRPr="00200DE0">
        <w:rPr>
          <w:rFonts w:asciiTheme="majorBidi" w:hAnsiTheme="majorBidi" w:cstheme="majorBidi"/>
          <w:sz w:val="24"/>
          <w:szCs w:val="24"/>
          <w:lang w:bidi="ar-IQ"/>
        </w:rPr>
        <w:t xml:space="preserve"> </w:t>
      </w:r>
      <w:r w:rsidR="00A34BF7" w:rsidRPr="00A34BF7">
        <w:rPr>
          <w:rFonts w:asciiTheme="majorBidi" w:hAnsiTheme="majorBidi" w:cstheme="majorBidi"/>
          <w:sz w:val="24"/>
          <w:szCs w:val="24"/>
          <w:lang w:bidi="ar-IQ"/>
        </w:rPr>
        <w:t>indicator</w:t>
      </w:r>
      <w:r w:rsidR="00A34BF7">
        <w:rPr>
          <w:rFonts w:asciiTheme="majorBidi" w:hAnsiTheme="majorBidi" w:cstheme="majorBidi"/>
          <w:sz w:val="24"/>
          <w:szCs w:val="24"/>
          <w:lang w:bidi="ar-IQ"/>
        </w:rPr>
        <w:t xml:space="preserve"> </w:t>
      </w:r>
      <w:r w:rsidRPr="00200DE0">
        <w:rPr>
          <w:rFonts w:asciiTheme="majorBidi" w:hAnsiTheme="majorBidi" w:cstheme="majorBidi"/>
          <w:sz w:val="24"/>
          <w:szCs w:val="24"/>
          <w:lang w:bidi="ar-IQ"/>
        </w:rPr>
        <w:t>for the Iraq Stock Exchange</w:t>
      </w:r>
      <w:r>
        <w:rPr>
          <w:rFonts w:asciiTheme="majorBidi" w:hAnsiTheme="majorBidi" w:cstheme="majorBidi"/>
          <w:sz w:val="24"/>
          <w:szCs w:val="24"/>
          <w:lang w:bidi="ar-IQ"/>
        </w:rPr>
        <w:t xml:space="preserve"> .</w:t>
      </w:r>
      <w:r w:rsidRPr="00200DE0">
        <w:rPr>
          <w:rFonts w:asciiTheme="majorBidi" w:hAnsiTheme="majorBidi" w:cstheme="majorBidi"/>
          <w:b/>
          <w:bCs/>
          <w:sz w:val="24"/>
          <w:szCs w:val="24"/>
          <w:lang w:bidi="ar-IQ"/>
        </w:rPr>
        <w:t xml:space="preserve"> </w:t>
      </w:r>
    </w:p>
    <w:p w:rsidR="00625294" w:rsidRPr="002A5D5F" w:rsidRDefault="003F0D44" w:rsidP="00200DE0">
      <w:pPr>
        <w:bidi w:val="0"/>
        <w:jc w:val="mediumKashida"/>
        <w:rPr>
          <w:rFonts w:asciiTheme="majorBidi" w:hAnsiTheme="majorBidi" w:cstheme="majorBidi"/>
          <w:b/>
          <w:bCs/>
          <w:color w:val="FF0000"/>
          <w:sz w:val="24"/>
          <w:szCs w:val="24"/>
          <w:lang w:bidi="ar-IQ"/>
        </w:rPr>
      </w:pPr>
      <w:r w:rsidRPr="002A5D5F">
        <w:rPr>
          <w:rFonts w:asciiTheme="majorBidi" w:hAnsiTheme="majorBidi" w:cstheme="majorBidi"/>
          <w:b/>
          <w:bCs/>
          <w:color w:val="FF0000"/>
          <w:sz w:val="24"/>
          <w:szCs w:val="24"/>
          <w:lang w:bidi="ar-IQ"/>
        </w:rPr>
        <w:t>Res</w:t>
      </w:r>
      <w:r w:rsidR="00625294" w:rsidRPr="002A5D5F">
        <w:rPr>
          <w:rFonts w:asciiTheme="majorBidi" w:hAnsiTheme="majorBidi" w:cstheme="majorBidi"/>
          <w:b/>
          <w:bCs/>
          <w:color w:val="FF0000"/>
          <w:sz w:val="24"/>
          <w:szCs w:val="24"/>
          <w:lang w:bidi="ar-IQ"/>
        </w:rPr>
        <w:t>earch</w:t>
      </w:r>
      <w:r w:rsidRPr="002A5D5F">
        <w:rPr>
          <w:rFonts w:asciiTheme="majorBidi" w:hAnsiTheme="majorBidi" w:cstheme="majorBidi" w:hint="cs"/>
          <w:b/>
          <w:bCs/>
          <w:color w:val="FF0000"/>
          <w:sz w:val="24"/>
          <w:szCs w:val="24"/>
          <w:rtl/>
          <w:lang w:bidi="ar-IQ"/>
        </w:rPr>
        <w:t>‘</w:t>
      </w:r>
      <w:r w:rsidRPr="002A5D5F">
        <w:rPr>
          <w:rFonts w:asciiTheme="majorBidi" w:hAnsiTheme="majorBidi" w:cstheme="majorBidi"/>
          <w:b/>
          <w:bCs/>
          <w:color w:val="FF0000"/>
          <w:sz w:val="24"/>
          <w:szCs w:val="24"/>
          <w:lang w:bidi="ar-IQ"/>
        </w:rPr>
        <w:t>s</w:t>
      </w:r>
      <w:r w:rsidR="00625294" w:rsidRPr="002A5D5F">
        <w:rPr>
          <w:rFonts w:asciiTheme="majorBidi" w:hAnsiTheme="majorBidi" w:cstheme="majorBidi"/>
          <w:b/>
          <w:bCs/>
          <w:color w:val="FF0000"/>
          <w:sz w:val="24"/>
          <w:szCs w:val="24"/>
          <w:lang w:bidi="ar-IQ"/>
        </w:rPr>
        <w:t xml:space="preserve"> </w:t>
      </w:r>
      <w:r w:rsidR="00D64C0D" w:rsidRPr="002A5D5F">
        <w:rPr>
          <w:rFonts w:asciiTheme="majorBidi" w:hAnsiTheme="majorBidi" w:cstheme="majorBidi"/>
          <w:b/>
          <w:bCs/>
          <w:color w:val="FF0000"/>
          <w:sz w:val="24"/>
          <w:szCs w:val="24"/>
          <w:lang w:bidi="ar-IQ"/>
        </w:rPr>
        <w:t xml:space="preserve">the </w:t>
      </w:r>
      <w:r w:rsidR="00625294" w:rsidRPr="002A5D5F">
        <w:rPr>
          <w:rFonts w:asciiTheme="majorBidi" w:hAnsiTheme="majorBidi" w:cstheme="majorBidi"/>
          <w:b/>
          <w:bCs/>
          <w:color w:val="FF0000"/>
          <w:sz w:val="24"/>
          <w:szCs w:val="24"/>
          <w:lang w:bidi="ar-IQ"/>
        </w:rPr>
        <w:t>objective:</w:t>
      </w:r>
    </w:p>
    <w:p w:rsidR="00200DE0" w:rsidRPr="00200DE0" w:rsidRDefault="00200DE0" w:rsidP="00200DE0">
      <w:pPr>
        <w:bidi w:val="0"/>
        <w:jc w:val="mediumKashida"/>
        <w:rPr>
          <w:rFonts w:asciiTheme="majorBidi" w:hAnsiTheme="majorBidi" w:cstheme="majorBidi"/>
          <w:sz w:val="24"/>
          <w:szCs w:val="24"/>
          <w:lang w:bidi="ar-IQ"/>
        </w:rPr>
      </w:pPr>
      <w:r>
        <w:rPr>
          <w:rFonts w:asciiTheme="majorBidi" w:hAnsiTheme="majorBidi" w:cstheme="majorBidi"/>
          <w:sz w:val="24"/>
          <w:szCs w:val="24"/>
          <w:lang w:bidi="ar-IQ"/>
        </w:rPr>
        <w:t>1</w:t>
      </w:r>
      <w:r w:rsidRPr="00200DE0">
        <w:rPr>
          <w:rFonts w:asciiTheme="majorBidi" w:hAnsiTheme="majorBidi" w:cstheme="majorBidi"/>
          <w:sz w:val="24"/>
          <w:szCs w:val="24"/>
          <w:lang w:bidi="ar-IQ"/>
        </w:rPr>
        <w:t>- A statement of the impact of Islamic banks and their importance in supporting the Iraqi economy through their main work as a financial intermediary between savers and investors, as well as analyzing their indicators in the financial market represented in (market value, trading volume).</w:t>
      </w:r>
    </w:p>
    <w:p w:rsidR="005408E8" w:rsidRDefault="00200DE0" w:rsidP="00200DE0">
      <w:pPr>
        <w:bidi w:val="0"/>
        <w:jc w:val="mediumKashida"/>
        <w:rPr>
          <w:rFonts w:asciiTheme="majorBidi" w:hAnsiTheme="majorBidi" w:cstheme="majorBidi"/>
          <w:sz w:val="24"/>
          <w:szCs w:val="24"/>
          <w:lang w:bidi="ar-IQ"/>
        </w:rPr>
      </w:pPr>
      <w:r w:rsidRPr="00200DE0">
        <w:rPr>
          <w:rFonts w:asciiTheme="majorBidi" w:hAnsiTheme="majorBidi" w:cstheme="majorBidi"/>
          <w:sz w:val="24"/>
          <w:szCs w:val="24"/>
          <w:lang w:bidi="ar-IQ"/>
        </w:rPr>
        <w:t>2- A statement of the impact of Islamic banks in supporting the Iraqi market for securities by studying its relative importance to the indicators of the Iraqi market for securities.</w:t>
      </w:r>
    </w:p>
    <w:p w:rsidR="00625294" w:rsidRPr="002A5D5F" w:rsidRDefault="00625294" w:rsidP="005408E8">
      <w:pPr>
        <w:bidi w:val="0"/>
        <w:jc w:val="mediumKashida"/>
        <w:rPr>
          <w:rFonts w:asciiTheme="majorBidi" w:hAnsiTheme="majorBidi" w:cstheme="majorBidi"/>
          <w:b/>
          <w:bCs/>
          <w:color w:val="FF0000"/>
          <w:sz w:val="24"/>
          <w:szCs w:val="24"/>
          <w:lang w:bidi="ar-IQ"/>
        </w:rPr>
      </w:pPr>
      <w:r w:rsidRPr="002A5D5F">
        <w:rPr>
          <w:rFonts w:asciiTheme="majorBidi" w:hAnsiTheme="majorBidi" w:cstheme="majorBidi"/>
          <w:b/>
          <w:bCs/>
          <w:color w:val="FF0000"/>
          <w:sz w:val="24"/>
          <w:szCs w:val="24"/>
          <w:lang w:bidi="ar-IQ"/>
        </w:rPr>
        <w:t>Research</w:t>
      </w:r>
      <w:r w:rsidR="00D64C0D" w:rsidRPr="002A5D5F">
        <w:rPr>
          <w:rFonts w:asciiTheme="majorBidi" w:hAnsiTheme="majorBidi" w:cstheme="majorBidi" w:hint="cs"/>
          <w:b/>
          <w:bCs/>
          <w:color w:val="FF0000"/>
          <w:sz w:val="24"/>
          <w:szCs w:val="24"/>
          <w:rtl/>
          <w:lang w:bidi="ar-IQ"/>
        </w:rPr>
        <w:t>‘</w:t>
      </w:r>
      <w:r w:rsidR="00D64C0D" w:rsidRPr="002A5D5F">
        <w:rPr>
          <w:rFonts w:asciiTheme="majorBidi" w:hAnsiTheme="majorBidi" w:cstheme="majorBidi"/>
          <w:b/>
          <w:bCs/>
          <w:color w:val="FF0000"/>
          <w:sz w:val="24"/>
          <w:szCs w:val="24"/>
          <w:lang w:bidi="ar-IQ"/>
        </w:rPr>
        <w:t>s</w:t>
      </w:r>
      <w:r w:rsidRPr="002A5D5F">
        <w:rPr>
          <w:rFonts w:asciiTheme="majorBidi" w:hAnsiTheme="majorBidi" w:cstheme="majorBidi"/>
          <w:b/>
          <w:bCs/>
          <w:color w:val="FF0000"/>
          <w:sz w:val="24"/>
          <w:szCs w:val="24"/>
          <w:lang w:bidi="ar-IQ"/>
        </w:rPr>
        <w:t xml:space="preserve"> hypothesis:</w:t>
      </w:r>
    </w:p>
    <w:p w:rsidR="005408E8" w:rsidRPr="005408E8" w:rsidRDefault="005408E8" w:rsidP="00D64C0D">
      <w:pPr>
        <w:bidi w:val="0"/>
        <w:jc w:val="mediumKashida"/>
        <w:rPr>
          <w:rFonts w:asciiTheme="majorBidi" w:hAnsiTheme="majorBidi" w:cstheme="majorBidi"/>
          <w:sz w:val="24"/>
          <w:szCs w:val="24"/>
          <w:lang w:bidi="ar-IQ"/>
        </w:rPr>
      </w:pPr>
      <w:r w:rsidRPr="005408E8">
        <w:rPr>
          <w:rFonts w:asciiTheme="majorBidi" w:hAnsiTheme="majorBidi" w:cstheme="majorBidi"/>
          <w:sz w:val="24"/>
          <w:szCs w:val="24"/>
          <w:lang w:bidi="ar-IQ"/>
        </w:rPr>
        <w:t xml:space="preserve">1- There is no effect of the market value </w:t>
      </w:r>
      <w:r w:rsidR="00D64C0D"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 xml:space="preserve">of Islamic banks in the market value </w:t>
      </w:r>
      <w:r w:rsidR="00D64C0D"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of the Iraq Stock Exchange.</w:t>
      </w:r>
    </w:p>
    <w:p w:rsidR="005408E8" w:rsidRDefault="005408E8" w:rsidP="005E1DAE">
      <w:pPr>
        <w:bidi w:val="0"/>
        <w:jc w:val="mediumKashida"/>
        <w:rPr>
          <w:rFonts w:asciiTheme="majorBidi" w:hAnsiTheme="majorBidi" w:cstheme="majorBidi"/>
          <w:sz w:val="24"/>
          <w:szCs w:val="24"/>
          <w:lang w:bidi="ar-IQ"/>
        </w:rPr>
      </w:pPr>
      <w:r w:rsidRPr="005408E8">
        <w:rPr>
          <w:rFonts w:asciiTheme="majorBidi" w:hAnsiTheme="majorBidi" w:cstheme="majorBidi"/>
          <w:sz w:val="24"/>
          <w:szCs w:val="24"/>
          <w:lang w:bidi="ar-IQ"/>
        </w:rPr>
        <w:t xml:space="preserve">2- There is no effect of the trading </w:t>
      </w:r>
      <w:r w:rsidR="005E1DAE">
        <w:rPr>
          <w:rFonts w:asciiTheme="majorBidi" w:hAnsiTheme="majorBidi" w:cstheme="majorBidi"/>
          <w:sz w:val="24"/>
          <w:szCs w:val="24"/>
          <w:lang w:bidi="ar-IQ"/>
        </w:rPr>
        <w:t>value</w:t>
      </w:r>
      <w:r w:rsidRPr="005408E8">
        <w:rPr>
          <w:rFonts w:asciiTheme="majorBidi" w:hAnsiTheme="majorBidi" w:cstheme="majorBidi"/>
          <w:sz w:val="24"/>
          <w:szCs w:val="24"/>
          <w:lang w:bidi="ar-IQ"/>
        </w:rPr>
        <w:t xml:space="preserve"> </w:t>
      </w:r>
      <w:r w:rsidR="005E1DAE"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for Islamic banks in the trading volume index of the Iraq Stock Exchange</w:t>
      </w:r>
    </w:p>
    <w:p w:rsidR="00625294" w:rsidRPr="002A5D5F" w:rsidRDefault="00625294" w:rsidP="005408E8">
      <w:pPr>
        <w:bidi w:val="0"/>
        <w:jc w:val="mediumKashida"/>
        <w:rPr>
          <w:rFonts w:asciiTheme="majorBidi" w:hAnsiTheme="majorBidi" w:cstheme="majorBidi"/>
          <w:b/>
          <w:bCs/>
          <w:color w:val="FF0000"/>
          <w:sz w:val="24"/>
          <w:szCs w:val="24"/>
          <w:lang w:bidi="ar-IQ"/>
        </w:rPr>
      </w:pPr>
      <w:r w:rsidRPr="002A5D5F">
        <w:rPr>
          <w:rFonts w:asciiTheme="majorBidi" w:hAnsiTheme="majorBidi" w:cstheme="majorBidi"/>
          <w:b/>
          <w:bCs/>
          <w:color w:val="FF0000"/>
          <w:sz w:val="24"/>
          <w:szCs w:val="24"/>
          <w:lang w:bidi="ar-IQ"/>
        </w:rPr>
        <w:lastRenderedPageBreak/>
        <w:t>Research</w:t>
      </w:r>
      <w:r w:rsidR="00D64C0D" w:rsidRPr="002A5D5F">
        <w:rPr>
          <w:rFonts w:asciiTheme="majorBidi" w:hAnsiTheme="majorBidi" w:cstheme="majorBidi" w:hint="cs"/>
          <w:b/>
          <w:bCs/>
          <w:color w:val="FF0000"/>
          <w:sz w:val="24"/>
          <w:szCs w:val="24"/>
          <w:rtl/>
          <w:lang w:bidi="ar-IQ"/>
        </w:rPr>
        <w:t>‘</w:t>
      </w:r>
      <w:r w:rsidR="00D64C0D" w:rsidRPr="002A5D5F">
        <w:rPr>
          <w:rFonts w:asciiTheme="majorBidi" w:hAnsiTheme="majorBidi" w:cstheme="majorBidi"/>
          <w:b/>
          <w:bCs/>
          <w:color w:val="FF0000"/>
          <w:sz w:val="24"/>
          <w:szCs w:val="24"/>
          <w:lang w:bidi="ar-IQ"/>
        </w:rPr>
        <w:t>s</w:t>
      </w:r>
      <w:r w:rsidRPr="002A5D5F">
        <w:rPr>
          <w:rFonts w:asciiTheme="majorBidi" w:hAnsiTheme="majorBidi" w:cstheme="majorBidi"/>
          <w:b/>
          <w:bCs/>
          <w:color w:val="FF0000"/>
          <w:sz w:val="24"/>
          <w:szCs w:val="24"/>
          <w:lang w:bidi="ar-IQ"/>
        </w:rPr>
        <w:t xml:space="preserve"> Methodology :</w:t>
      </w:r>
    </w:p>
    <w:p w:rsidR="005408E8" w:rsidRPr="005408E8" w:rsidRDefault="005408E8" w:rsidP="005E1DAE">
      <w:pPr>
        <w:bidi w:val="0"/>
        <w:jc w:val="mediumKashida"/>
        <w:rPr>
          <w:rFonts w:asciiTheme="majorBidi" w:hAnsiTheme="majorBidi" w:cstheme="majorBidi"/>
          <w:sz w:val="24"/>
          <w:szCs w:val="24"/>
          <w:lang w:bidi="ar-IQ"/>
        </w:rPr>
      </w:pPr>
      <w:r w:rsidRPr="005408E8">
        <w:rPr>
          <w:rFonts w:asciiTheme="majorBidi" w:hAnsiTheme="majorBidi" w:cstheme="majorBidi"/>
          <w:sz w:val="24"/>
          <w:szCs w:val="24"/>
          <w:lang w:bidi="ar-IQ"/>
        </w:rPr>
        <w:t xml:space="preserve">1- There is no effect of the market value </w:t>
      </w:r>
      <w:r w:rsidR="005E1DAE"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 xml:space="preserve">of Islamic banks in the market value </w:t>
      </w:r>
      <w:r w:rsidR="005E1DAE"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of the Iraq Stock Exchange.</w:t>
      </w:r>
    </w:p>
    <w:p w:rsidR="00625294" w:rsidRDefault="005408E8" w:rsidP="005E1DAE">
      <w:pPr>
        <w:bidi w:val="0"/>
        <w:jc w:val="mediumKashida"/>
        <w:rPr>
          <w:rFonts w:asciiTheme="majorBidi" w:hAnsiTheme="majorBidi" w:cstheme="majorBidi"/>
          <w:sz w:val="24"/>
          <w:szCs w:val="24"/>
          <w:lang w:bidi="ar-IQ"/>
        </w:rPr>
      </w:pPr>
      <w:r w:rsidRPr="005408E8">
        <w:rPr>
          <w:rFonts w:asciiTheme="majorBidi" w:hAnsiTheme="majorBidi" w:cstheme="majorBidi"/>
          <w:sz w:val="24"/>
          <w:szCs w:val="24"/>
          <w:lang w:bidi="ar-IQ"/>
        </w:rPr>
        <w:t xml:space="preserve">2- There is no effect of the trading </w:t>
      </w:r>
      <w:r w:rsidR="005E1DAE">
        <w:rPr>
          <w:rFonts w:asciiTheme="majorBidi" w:hAnsiTheme="majorBidi" w:cstheme="majorBidi"/>
          <w:sz w:val="24"/>
          <w:szCs w:val="24"/>
          <w:lang w:bidi="ar-IQ"/>
        </w:rPr>
        <w:t>value</w:t>
      </w:r>
      <w:r w:rsidRPr="005408E8">
        <w:rPr>
          <w:rFonts w:asciiTheme="majorBidi" w:hAnsiTheme="majorBidi" w:cstheme="majorBidi"/>
          <w:sz w:val="24"/>
          <w:szCs w:val="24"/>
          <w:lang w:bidi="ar-IQ"/>
        </w:rPr>
        <w:t xml:space="preserve"> </w:t>
      </w:r>
      <w:r w:rsidR="005E1DAE"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 xml:space="preserve">for Islamic banks in the trading </w:t>
      </w:r>
      <w:r w:rsidR="005E1DAE">
        <w:rPr>
          <w:rFonts w:asciiTheme="majorBidi" w:hAnsiTheme="majorBidi" w:cstheme="majorBidi"/>
          <w:sz w:val="24"/>
          <w:szCs w:val="24"/>
          <w:lang w:bidi="ar-IQ"/>
        </w:rPr>
        <w:t>value</w:t>
      </w:r>
      <w:r w:rsidRPr="005408E8">
        <w:rPr>
          <w:rFonts w:asciiTheme="majorBidi" w:hAnsiTheme="majorBidi" w:cstheme="majorBidi"/>
          <w:sz w:val="24"/>
          <w:szCs w:val="24"/>
          <w:lang w:bidi="ar-IQ"/>
        </w:rPr>
        <w:t xml:space="preserve"> </w:t>
      </w:r>
      <w:r w:rsidR="005E1DAE" w:rsidRPr="00200DE0">
        <w:rPr>
          <w:rFonts w:asciiTheme="majorBidi" w:hAnsiTheme="majorBidi" w:cstheme="majorBidi"/>
          <w:sz w:val="24"/>
          <w:szCs w:val="24"/>
          <w:lang w:bidi="ar-IQ"/>
        </w:rPr>
        <w:t xml:space="preserve">indicators </w:t>
      </w:r>
      <w:r w:rsidRPr="005408E8">
        <w:rPr>
          <w:rFonts w:asciiTheme="majorBidi" w:hAnsiTheme="majorBidi" w:cstheme="majorBidi"/>
          <w:sz w:val="24"/>
          <w:szCs w:val="24"/>
          <w:lang w:bidi="ar-IQ"/>
        </w:rPr>
        <w:t>of the Iraq Stock Exchange.</w:t>
      </w:r>
    </w:p>
    <w:p w:rsidR="005408E8" w:rsidRPr="005408E8" w:rsidRDefault="005408E8" w:rsidP="005408E8">
      <w:pPr>
        <w:bidi w:val="0"/>
        <w:jc w:val="mediumKashida"/>
        <w:rPr>
          <w:rFonts w:asciiTheme="majorBidi" w:hAnsiTheme="majorBidi" w:cstheme="majorBidi"/>
          <w:sz w:val="4"/>
          <w:szCs w:val="4"/>
          <w:lang w:bidi="ar-IQ"/>
        </w:rPr>
      </w:pPr>
    </w:p>
    <w:p w:rsidR="005408E8" w:rsidRPr="00431040" w:rsidRDefault="00CA1620" w:rsidP="00E335FB">
      <w:pPr>
        <w:bidi w:val="0"/>
        <w:spacing w:after="0"/>
        <w:jc w:val="mediumKashida"/>
        <w:rPr>
          <w:rFonts w:asciiTheme="majorBidi" w:hAnsiTheme="majorBidi" w:cstheme="majorBidi"/>
          <w:b/>
          <w:bCs/>
          <w:color w:val="FF0000"/>
          <w:sz w:val="24"/>
          <w:szCs w:val="24"/>
          <w:lang w:bidi="ar-IQ"/>
        </w:rPr>
      </w:pPr>
      <w:r w:rsidRPr="00431040">
        <w:rPr>
          <w:rFonts w:asciiTheme="majorBidi" w:hAnsiTheme="majorBidi" w:cstheme="majorBidi"/>
          <w:b/>
          <w:bCs/>
          <w:color w:val="FF0000"/>
          <w:sz w:val="24"/>
          <w:szCs w:val="24"/>
          <w:lang w:bidi="ar-IQ"/>
        </w:rPr>
        <w:t>The first topic</w:t>
      </w:r>
    </w:p>
    <w:p w:rsidR="00CA1620" w:rsidRPr="00431040" w:rsidRDefault="005E1DAE" w:rsidP="00E335FB">
      <w:pPr>
        <w:bidi w:val="0"/>
        <w:spacing w:after="0"/>
        <w:jc w:val="mediumKashida"/>
        <w:rPr>
          <w:rFonts w:asciiTheme="majorBidi" w:hAnsiTheme="majorBidi" w:cstheme="majorBidi"/>
          <w:color w:val="FF0000"/>
          <w:sz w:val="24"/>
          <w:szCs w:val="24"/>
          <w:rtl/>
          <w:lang w:bidi="ar-IQ"/>
        </w:rPr>
      </w:pPr>
      <w:r>
        <w:rPr>
          <w:rFonts w:asciiTheme="majorBidi" w:hAnsiTheme="majorBidi" w:cstheme="majorBidi"/>
          <w:b/>
          <w:bCs/>
          <w:color w:val="FF0000"/>
          <w:sz w:val="24"/>
          <w:szCs w:val="24"/>
          <w:lang w:bidi="ar-IQ"/>
        </w:rPr>
        <w:t>the</w:t>
      </w:r>
      <w:r w:rsidR="00CA1620" w:rsidRPr="00431040">
        <w:rPr>
          <w:rFonts w:asciiTheme="majorBidi" w:hAnsiTheme="majorBidi" w:cstheme="majorBidi"/>
          <w:b/>
          <w:bCs/>
          <w:color w:val="FF0000"/>
          <w:sz w:val="24"/>
          <w:szCs w:val="24"/>
          <w:lang w:bidi="ar-IQ"/>
        </w:rPr>
        <w:t xml:space="preserve"> Islamic banking and the stock market</w:t>
      </w:r>
    </w:p>
    <w:p w:rsidR="00CA1620" w:rsidRPr="00431040" w:rsidRDefault="00CA1620" w:rsidP="00CA1620">
      <w:pPr>
        <w:bidi w:val="0"/>
        <w:jc w:val="mediumKashida"/>
        <w:rPr>
          <w:rFonts w:asciiTheme="majorBidi" w:hAnsiTheme="majorBidi" w:cstheme="majorBidi"/>
          <w:b/>
          <w:bCs/>
          <w:color w:val="365F91" w:themeColor="accent1" w:themeShade="BF"/>
          <w:sz w:val="24"/>
          <w:szCs w:val="24"/>
          <w:lang w:bidi="ar-IQ"/>
        </w:rPr>
      </w:pPr>
      <w:r w:rsidRPr="00431040">
        <w:rPr>
          <w:rFonts w:asciiTheme="majorBidi" w:hAnsiTheme="majorBidi" w:cstheme="majorBidi"/>
          <w:b/>
          <w:bCs/>
          <w:color w:val="365F91" w:themeColor="accent1" w:themeShade="BF"/>
          <w:sz w:val="24"/>
          <w:szCs w:val="24"/>
          <w:lang w:bidi="ar-IQ"/>
        </w:rPr>
        <w:t>Section one</w:t>
      </w:r>
      <w:r w:rsidR="00431040" w:rsidRPr="00431040">
        <w:rPr>
          <w:rFonts w:asciiTheme="majorBidi" w:hAnsiTheme="majorBidi" w:cstheme="majorBidi"/>
          <w:b/>
          <w:bCs/>
          <w:color w:val="365F91" w:themeColor="accent1" w:themeShade="BF"/>
          <w:sz w:val="24"/>
          <w:szCs w:val="24"/>
          <w:lang w:bidi="ar-IQ"/>
        </w:rPr>
        <w:t xml:space="preserve"> </w:t>
      </w:r>
      <w:r w:rsidRPr="00431040">
        <w:rPr>
          <w:rFonts w:asciiTheme="majorBidi" w:hAnsiTheme="majorBidi" w:cstheme="majorBidi"/>
          <w:b/>
          <w:bCs/>
          <w:color w:val="365F91" w:themeColor="accent1" w:themeShade="BF"/>
          <w:sz w:val="24"/>
          <w:szCs w:val="24"/>
          <w:lang w:bidi="ar-IQ"/>
        </w:rPr>
        <w:t>: Islamic banks</w:t>
      </w:r>
    </w:p>
    <w:p w:rsidR="00431040" w:rsidRPr="00431040" w:rsidRDefault="00431040" w:rsidP="00183D12">
      <w:pPr>
        <w:bidi w:val="0"/>
        <w:jc w:val="mediumKashida"/>
        <w:rPr>
          <w:rFonts w:asciiTheme="majorBidi" w:hAnsiTheme="majorBidi" w:cstheme="majorBidi"/>
          <w:b/>
          <w:bCs/>
          <w:color w:val="C00000"/>
          <w:sz w:val="24"/>
          <w:szCs w:val="24"/>
          <w:rtl/>
          <w:lang w:bidi="ar-IQ"/>
        </w:rPr>
      </w:pPr>
      <w:r w:rsidRPr="00431040">
        <w:rPr>
          <w:rFonts w:asciiTheme="majorBidi" w:hAnsiTheme="majorBidi" w:cstheme="majorBidi"/>
          <w:b/>
          <w:bCs/>
          <w:color w:val="C00000"/>
          <w:sz w:val="24"/>
          <w:szCs w:val="24"/>
          <w:lang w:bidi="ar-IQ"/>
        </w:rPr>
        <w:t xml:space="preserve">First: </w:t>
      </w:r>
      <w:r w:rsidR="00183D12">
        <w:rPr>
          <w:rFonts w:asciiTheme="majorBidi" w:hAnsiTheme="majorBidi" w:cstheme="majorBidi"/>
          <w:b/>
          <w:bCs/>
          <w:color w:val="C00000"/>
          <w:sz w:val="24"/>
          <w:szCs w:val="24"/>
          <w:lang w:bidi="ar-IQ"/>
        </w:rPr>
        <w:t>originate</w:t>
      </w:r>
    </w:p>
    <w:p w:rsidR="00CA1620" w:rsidRPr="00CA1620" w:rsidRDefault="00CA1620" w:rsidP="0043104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xml:space="preserve">     Islamic banks appeared in the year (1940) when they established saving funds in Malaysia that operated without interest, and then in the late forties, systematic and organized thinking began to appear in Pakistan in order to develop financing techniques that take into account Islamic teachings, but this thinking took a long time and did not find it An applied outlet except in Egypt, as Dakahlia Governorate in the Arab Republic of Egypt is considered the first city that witnessed the birth of the first experience of Islamic banks, even if it lasted only a few years. (Al-Najjar, 1993: 59-63), and the first governmental Islamic bank in Egypt arose, namely Nasser Social Bank, which was established in 1971 AD. This bank takes deposits and invests them in projects and small enterprises and distributes its profits to depositors according to the share of their money in investment (Al-Sharqawi 2000: 67).</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xml:space="preserve">      Islamic banks did not take on their own character as financing and investment institutions until the mid-seventies, when the Second Conference of Finance Ministers of Islamic Countries, held in Jeddah in 1974, approved the establishment of the Islamic Development Bank, which began its operation in 1975. (Al-Khaqani, 2002, 134).</w:t>
      </w:r>
    </w:p>
    <w:p w:rsidR="00CA1620" w:rsidRPr="00431040" w:rsidRDefault="00CA1620" w:rsidP="00CA1620">
      <w:pPr>
        <w:bidi w:val="0"/>
        <w:jc w:val="mediumKashida"/>
        <w:rPr>
          <w:rFonts w:asciiTheme="majorBidi" w:hAnsiTheme="majorBidi" w:cstheme="majorBidi"/>
          <w:b/>
          <w:bCs/>
          <w:color w:val="C00000"/>
          <w:sz w:val="24"/>
          <w:szCs w:val="24"/>
          <w:lang w:bidi="ar-IQ"/>
        </w:rPr>
      </w:pPr>
      <w:r w:rsidRPr="00431040">
        <w:rPr>
          <w:rFonts w:asciiTheme="majorBidi" w:hAnsiTheme="majorBidi" w:cstheme="majorBidi"/>
          <w:b/>
          <w:bCs/>
          <w:color w:val="C00000"/>
          <w:sz w:val="24"/>
          <w:szCs w:val="24"/>
          <w:lang w:bidi="ar-IQ"/>
        </w:rPr>
        <w:t>Second</w:t>
      </w:r>
      <w:r w:rsidR="00431040" w:rsidRPr="00431040">
        <w:rPr>
          <w:rFonts w:asciiTheme="majorBidi" w:hAnsiTheme="majorBidi" w:cstheme="majorBidi"/>
          <w:b/>
          <w:bCs/>
          <w:color w:val="C00000"/>
          <w:sz w:val="24"/>
          <w:szCs w:val="24"/>
          <w:lang w:bidi="ar-IQ"/>
        </w:rPr>
        <w:t xml:space="preserve"> </w:t>
      </w:r>
      <w:r w:rsidRPr="00431040">
        <w:rPr>
          <w:rFonts w:asciiTheme="majorBidi" w:hAnsiTheme="majorBidi" w:cstheme="majorBidi"/>
          <w:b/>
          <w:bCs/>
          <w:color w:val="C00000"/>
          <w:sz w:val="24"/>
          <w:szCs w:val="24"/>
          <w:lang w:bidi="ar-IQ"/>
        </w:rPr>
        <w:t>: What are Islamic banks?</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xml:space="preserve">     There are several definitions of Islamic banks, including:</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It is a monetary financial institution that carries out financial and banking business and services, attracting cash resources and employing them effectively to ensure their growth and achieve the maximum return from them and in order to achieve the objectives of economic and social development within the framework of the tolerant Islamic Sharia provisions. (Al-Ajlouni, 2008: 110).</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The agreement establishing the International Federation of Islamic Banks defined it as those banks or institutions whose establishment law and statute expressly stipulate adherence to the principles of Sharia, and not to deal with interest by taking or giving. (Al-Sharqawi, 2000: 26).</w:t>
      </w:r>
    </w:p>
    <w:p w:rsidR="00CA1620" w:rsidRPr="00431040" w:rsidRDefault="00CA1620" w:rsidP="00CA1620">
      <w:pPr>
        <w:bidi w:val="0"/>
        <w:jc w:val="mediumKashida"/>
        <w:rPr>
          <w:rFonts w:asciiTheme="majorBidi" w:hAnsiTheme="majorBidi" w:cstheme="majorBidi"/>
          <w:b/>
          <w:bCs/>
          <w:color w:val="C00000"/>
          <w:sz w:val="24"/>
          <w:szCs w:val="24"/>
          <w:lang w:bidi="ar-IQ"/>
        </w:rPr>
      </w:pPr>
      <w:r w:rsidRPr="00431040">
        <w:rPr>
          <w:rFonts w:asciiTheme="majorBidi" w:hAnsiTheme="majorBidi" w:cstheme="majorBidi"/>
          <w:b/>
          <w:bCs/>
          <w:color w:val="C00000"/>
          <w:sz w:val="24"/>
          <w:szCs w:val="24"/>
          <w:lang w:bidi="ar-IQ"/>
        </w:rPr>
        <w:lastRenderedPageBreak/>
        <w:t>Third: Sources of Funds in Islamic Banks</w:t>
      </w:r>
    </w:p>
    <w:p w:rsidR="00CA1620" w:rsidRPr="00CA1620" w:rsidRDefault="00E335FB" w:rsidP="00CA1620">
      <w:pPr>
        <w:bidi w:val="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CA1620" w:rsidRPr="00CA1620">
        <w:rPr>
          <w:rFonts w:asciiTheme="majorBidi" w:hAnsiTheme="majorBidi" w:cstheme="majorBidi"/>
          <w:sz w:val="24"/>
          <w:szCs w:val="24"/>
          <w:lang w:bidi="ar-IQ"/>
        </w:rPr>
        <w:t>Islamic banks are based on sharing in profits and losses for the sources and uses of funds, and the sources of funds in Islamic banks are divided into internal and external sources, including:</w:t>
      </w:r>
    </w:p>
    <w:p w:rsidR="00CA1620" w:rsidRPr="00CA1620" w:rsidRDefault="00CA1620" w:rsidP="00CA1620">
      <w:pPr>
        <w:bidi w:val="0"/>
        <w:jc w:val="mediumKashida"/>
        <w:rPr>
          <w:rFonts w:asciiTheme="majorBidi" w:hAnsiTheme="majorBidi" w:cstheme="majorBidi"/>
          <w:sz w:val="24"/>
          <w:szCs w:val="24"/>
          <w:lang w:bidi="ar-IQ"/>
        </w:rPr>
      </w:pPr>
      <w:r w:rsidRPr="00431040">
        <w:rPr>
          <w:rFonts w:asciiTheme="majorBidi" w:hAnsiTheme="majorBidi" w:cstheme="majorBidi"/>
          <w:b/>
          <w:bCs/>
          <w:color w:val="365F91" w:themeColor="accent1" w:themeShade="BF"/>
          <w:sz w:val="24"/>
          <w:szCs w:val="24"/>
          <w:lang w:bidi="ar-IQ"/>
        </w:rPr>
        <w:t>A- Capital</w:t>
      </w:r>
      <w:r w:rsidR="00431040" w:rsidRPr="00431040">
        <w:rPr>
          <w:rFonts w:asciiTheme="majorBidi" w:hAnsiTheme="majorBidi" w:cstheme="majorBidi"/>
          <w:b/>
          <w:bCs/>
          <w:color w:val="365F91" w:themeColor="accent1" w:themeShade="BF"/>
          <w:sz w:val="24"/>
          <w:szCs w:val="24"/>
          <w:lang w:bidi="ar-IQ"/>
        </w:rPr>
        <w:t xml:space="preserve"> </w:t>
      </w:r>
      <w:r w:rsidRPr="00431040">
        <w:rPr>
          <w:rFonts w:asciiTheme="majorBidi" w:hAnsiTheme="majorBidi" w:cstheme="majorBidi"/>
          <w:b/>
          <w:bCs/>
          <w:color w:val="365F91" w:themeColor="accent1" w:themeShade="BF"/>
          <w:sz w:val="24"/>
          <w:szCs w:val="24"/>
          <w:lang w:bidi="ar-IQ"/>
        </w:rPr>
        <w:t>:</w:t>
      </w:r>
      <w:r w:rsidRPr="00CA1620">
        <w:rPr>
          <w:rFonts w:asciiTheme="majorBidi" w:hAnsiTheme="majorBidi" w:cstheme="majorBidi"/>
          <w:sz w:val="24"/>
          <w:szCs w:val="24"/>
          <w:lang w:bidi="ar-IQ"/>
        </w:rPr>
        <w:t xml:space="preserve"> It is obtained as a result of a contribution to the bank from shareholders, in particular what is paid from the capital through this contribution, which is the sum of the financial shares contributed by the shareholders when the bank was established, and it is considered one of the guarantees of the rights of depositors, as it compensates for the shortfall in The bank’s resources when it is invested, bearing in mind that the bank is not financed with its money, but rather with what it collects as deposits. (Eid, 2011: 491)</w:t>
      </w:r>
    </w:p>
    <w:p w:rsidR="00CA1620" w:rsidRPr="00CA1620" w:rsidRDefault="00CA1620" w:rsidP="00CA1620">
      <w:pPr>
        <w:bidi w:val="0"/>
        <w:jc w:val="mediumKashida"/>
        <w:rPr>
          <w:rFonts w:asciiTheme="majorBidi" w:hAnsiTheme="majorBidi" w:cstheme="majorBidi"/>
          <w:sz w:val="24"/>
          <w:szCs w:val="24"/>
          <w:lang w:bidi="ar-IQ"/>
        </w:rPr>
      </w:pPr>
      <w:r w:rsidRPr="00431040">
        <w:rPr>
          <w:rFonts w:asciiTheme="majorBidi" w:hAnsiTheme="majorBidi" w:cstheme="majorBidi"/>
          <w:b/>
          <w:bCs/>
          <w:color w:val="365F91" w:themeColor="accent1" w:themeShade="BF"/>
          <w:sz w:val="24"/>
          <w:szCs w:val="24"/>
          <w:lang w:bidi="ar-IQ"/>
        </w:rPr>
        <w:t xml:space="preserve">B </w:t>
      </w:r>
      <w:r w:rsidR="00431040" w:rsidRPr="00431040">
        <w:rPr>
          <w:rFonts w:asciiTheme="majorBidi" w:hAnsiTheme="majorBidi" w:cstheme="majorBidi"/>
          <w:b/>
          <w:bCs/>
          <w:color w:val="365F91" w:themeColor="accent1" w:themeShade="BF"/>
          <w:sz w:val="24"/>
          <w:szCs w:val="24"/>
          <w:lang w:bidi="ar-IQ"/>
        </w:rPr>
        <w:t>–</w:t>
      </w:r>
      <w:r w:rsidRPr="00431040">
        <w:rPr>
          <w:rFonts w:asciiTheme="majorBidi" w:hAnsiTheme="majorBidi" w:cstheme="majorBidi"/>
          <w:b/>
          <w:bCs/>
          <w:color w:val="365F91" w:themeColor="accent1" w:themeShade="BF"/>
          <w:sz w:val="24"/>
          <w:szCs w:val="24"/>
          <w:lang w:bidi="ar-IQ"/>
        </w:rPr>
        <w:t xml:space="preserve"> Reserves</w:t>
      </w:r>
      <w:r w:rsidR="00431040" w:rsidRPr="00431040">
        <w:rPr>
          <w:rFonts w:asciiTheme="majorBidi" w:hAnsiTheme="majorBidi" w:cstheme="majorBidi"/>
          <w:b/>
          <w:bCs/>
          <w:color w:val="365F91" w:themeColor="accent1" w:themeShade="BF"/>
          <w:sz w:val="24"/>
          <w:szCs w:val="24"/>
          <w:lang w:bidi="ar-IQ"/>
        </w:rPr>
        <w:t xml:space="preserve"> </w:t>
      </w:r>
      <w:r w:rsidRPr="00431040">
        <w:rPr>
          <w:rFonts w:asciiTheme="majorBidi" w:hAnsiTheme="majorBidi" w:cstheme="majorBidi"/>
          <w:b/>
          <w:bCs/>
          <w:color w:val="365F91" w:themeColor="accent1" w:themeShade="BF"/>
          <w:sz w:val="24"/>
          <w:szCs w:val="24"/>
          <w:lang w:bidi="ar-IQ"/>
        </w:rPr>
        <w:t>:</w:t>
      </w:r>
      <w:r w:rsidRPr="00CA1620">
        <w:rPr>
          <w:rFonts w:asciiTheme="majorBidi" w:hAnsiTheme="majorBidi" w:cstheme="majorBidi"/>
          <w:sz w:val="24"/>
          <w:szCs w:val="24"/>
          <w:lang w:bidi="ar-IQ"/>
        </w:rPr>
        <w:t xml:space="preserve"> They represent retained earnings from previous years and are deducted from the share of shareholders and consist of profits or surplus funds in order to consolidate and strengthen the financial position of the bank. There are several types of reserves, including the legal reserve and the voluntary reserve. (Kabalan, 2008: 78)</w:t>
      </w:r>
    </w:p>
    <w:p w:rsidR="00CA1620" w:rsidRPr="00CA1620" w:rsidRDefault="00CA1620" w:rsidP="00CA1620">
      <w:pPr>
        <w:bidi w:val="0"/>
        <w:jc w:val="mediumKashida"/>
        <w:rPr>
          <w:rFonts w:asciiTheme="majorBidi" w:hAnsiTheme="majorBidi" w:cstheme="majorBidi"/>
          <w:sz w:val="24"/>
          <w:szCs w:val="24"/>
          <w:lang w:bidi="ar-IQ"/>
        </w:rPr>
      </w:pPr>
      <w:r w:rsidRPr="00431040">
        <w:rPr>
          <w:rFonts w:asciiTheme="majorBidi" w:hAnsiTheme="majorBidi" w:cstheme="majorBidi"/>
          <w:b/>
          <w:bCs/>
          <w:color w:val="365F91" w:themeColor="accent1" w:themeShade="BF"/>
          <w:sz w:val="24"/>
          <w:szCs w:val="24"/>
          <w:lang w:bidi="ar-IQ"/>
        </w:rPr>
        <w:t>C- Retained profits (undistributed profits):</w:t>
      </w:r>
      <w:r w:rsidRPr="00CA1620">
        <w:rPr>
          <w:rFonts w:asciiTheme="majorBidi" w:hAnsiTheme="majorBidi" w:cstheme="majorBidi"/>
          <w:sz w:val="24"/>
          <w:szCs w:val="24"/>
          <w:lang w:bidi="ar-IQ"/>
        </w:rPr>
        <w:t xml:space="preserve"> determined by the articles of association of the Islamic bank and based on what is decided by the bank’s board of directors at the end of each fiscal year and after the approval of its general assembly by approving the amount of profits that it retains and rolls over to subsequent years. The bank can add it to the general reserve or take To increase the capital of the bank, and these undistributed profits are a self-resource of the Islamic bank. (Al-Moussawi, 2011: 38)</w:t>
      </w:r>
    </w:p>
    <w:p w:rsidR="00CA1620" w:rsidRPr="00CA1620" w:rsidRDefault="00CA1620" w:rsidP="00CA1620">
      <w:pPr>
        <w:bidi w:val="0"/>
        <w:jc w:val="mediumKashida"/>
        <w:rPr>
          <w:rFonts w:asciiTheme="majorBidi" w:hAnsiTheme="majorBidi" w:cstheme="majorBidi"/>
          <w:sz w:val="24"/>
          <w:szCs w:val="24"/>
          <w:lang w:bidi="ar-IQ"/>
        </w:rPr>
      </w:pPr>
      <w:r w:rsidRPr="00431040">
        <w:rPr>
          <w:rFonts w:asciiTheme="majorBidi" w:hAnsiTheme="majorBidi" w:cstheme="majorBidi"/>
          <w:b/>
          <w:bCs/>
          <w:color w:val="365F91" w:themeColor="accent1" w:themeShade="BF"/>
          <w:sz w:val="24"/>
          <w:szCs w:val="24"/>
          <w:lang w:bidi="ar-IQ"/>
        </w:rPr>
        <w:t>H- Demand deposits (current accounts):</w:t>
      </w:r>
      <w:r w:rsidRPr="00CA1620">
        <w:rPr>
          <w:rFonts w:asciiTheme="majorBidi" w:hAnsiTheme="majorBidi" w:cstheme="majorBidi"/>
          <w:sz w:val="24"/>
          <w:szCs w:val="24"/>
          <w:lang w:bidi="ar-IQ"/>
        </w:rPr>
        <w:t xml:space="preserve"> They are called credit accounts, as Islamic banks provide this service to their individual and corporate clients, without restricting these deposits to any entry, whether upon withdrawal or deposit, and they, in turn, do not participate in any percentage of investment profits and do not bear any risk. (Al-Zaydanin, 1995: 93-94).</w:t>
      </w:r>
    </w:p>
    <w:p w:rsidR="00CA1620" w:rsidRPr="00CA1620" w:rsidRDefault="00CA1620" w:rsidP="00CA1620">
      <w:pPr>
        <w:bidi w:val="0"/>
        <w:jc w:val="mediumKashida"/>
        <w:rPr>
          <w:rFonts w:asciiTheme="majorBidi" w:hAnsiTheme="majorBidi" w:cstheme="majorBidi"/>
          <w:sz w:val="24"/>
          <w:szCs w:val="24"/>
          <w:rtl/>
          <w:lang w:bidi="ar-IQ"/>
        </w:rPr>
      </w:pPr>
      <w:r w:rsidRPr="00431040">
        <w:rPr>
          <w:rFonts w:asciiTheme="majorBidi" w:hAnsiTheme="majorBidi" w:cstheme="majorBidi"/>
          <w:b/>
          <w:bCs/>
          <w:color w:val="365F91" w:themeColor="accent1" w:themeShade="BF"/>
          <w:sz w:val="24"/>
          <w:szCs w:val="24"/>
          <w:lang w:bidi="ar-IQ"/>
        </w:rPr>
        <w:t>D - Islamic financing instruments</w:t>
      </w:r>
      <w:r w:rsidR="00431040">
        <w:rPr>
          <w:rFonts w:asciiTheme="majorBidi" w:hAnsiTheme="majorBidi" w:cstheme="majorBidi"/>
          <w:b/>
          <w:bCs/>
          <w:color w:val="365F91" w:themeColor="accent1" w:themeShade="BF"/>
          <w:sz w:val="24"/>
          <w:szCs w:val="24"/>
          <w:lang w:bidi="ar-IQ"/>
        </w:rPr>
        <w:t xml:space="preserve"> </w:t>
      </w:r>
      <w:r w:rsidRPr="00431040">
        <w:rPr>
          <w:rFonts w:asciiTheme="majorBidi" w:hAnsiTheme="majorBidi" w:cstheme="majorBidi"/>
          <w:b/>
          <w:bCs/>
          <w:color w:val="365F91" w:themeColor="accent1" w:themeShade="BF"/>
          <w:sz w:val="24"/>
          <w:szCs w:val="24"/>
          <w:lang w:bidi="ar-IQ"/>
        </w:rPr>
        <w:t>:</w:t>
      </w:r>
      <w:r w:rsidRPr="00CA1620">
        <w:rPr>
          <w:rFonts w:asciiTheme="majorBidi" w:hAnsiTheme="majorBidi" w:cstheme="majorBidi"/>
          <w:sz w:val="24"/>
          <w:szCs w:val="24"/>
          <w:lang w:bidi="ar-IQ"/>
        </w:rPr>
        <w:t xml:space="preserve"> Islamic banks issue these instruments for the purpose of Islamic finance that are compatible with the provisions of Islamic Sharia in order to provide financial resources for the bank to help it achieve its goals and enable it to complete its projects. They are the bank's capital increase instruments, return-sharing instruments, medium-term Islamic deposit instruments, sector-specific investment instruments, and investment instruments for a specific project. (Al-Ajlouni, 2008: 197).</w:t>
      </w:r>
    </w:p>
    <w:p w:rsidR="00CA1620" w:rsidRPr="007B5CB4" w:rsidRDefault="007B5CB4" w:rsidP="00CA1620">
      <w:pPr>
        <w:bidi w:val="0"/>
        <w:jc w:val="mediumKashida"/>
        <w:rPr>
          <w:rFonts w:asciiTheme="majorBidi" w:hAnsiTheme="majorBidi" w:cstheme="majorBidi"/>
          <w:b/>
          <w:bCs/>
          <w:color w:val="C00000"/>
          <w:sz w:val="24"/>
          <w:szCs w:val="24"/>
          <w:lang w:bidi="ar-IQ"/>
        </w:rPr>
      </w:pPr>
      <w:r w:rsidRPr="007B5CB4">
        <w:rPr>
          <w:rFonts w:asciiTheme="majorBidi" w:hAnsiTheme="majorBidi" w:cstheme="majorBidi"/>
          <w:b/>
          <w:bCs/>
          <w:color w:val="C00000"/>
          <w:sz w:val="24"/>
          <w:szCs w:val="24"/>
          <w:lang w:bidi="ar-IQ"/>
        </w:rPr>
        <w:t xml:space="preserve">Fourth </w:t>
      </w:r>
      <w:r w:rsidR="00CA1620" w:rsidRPr="007B5CB4">
        <w:rPr>
          <w:rFonts w:asciiTheme="majorBidi" w:hAnsiTheme="majorBidi" w:cstheme="majorBidi"/>
          <w:b/>
          <w:bCs/>
          <w:color w:val="C00000"/>
          <w:sz w:val="24"/>
          <w:szCs w:val="24"/>
          <w:lang w:bidi="ar-IQ"/>
        </w:rPr>
        <w:t>: Methods of financing or financing formulas for the Islamic bank</w:t>
      </w:r>
    </w:p>
    <w:p w:rsidR="00CA1620" w:rsidRPr="00CA1620" w:rsidRDefault="00CA1620" w:rsidP="00CA1620">
      <w:pPr>
        <w:bidi w:val="0"/>
        <w:jc w:val="mediumKashida"/>
        <w:rPr>
          <w:rFonts w:asciiTheme="majorBidi" w:hAnsiTheme="majorBidi" w:cstheme="majorBidi"/>
          <w:sz w:val="24"/>
          <w:szCs w:val="24"/>
          <w:rtl/>
          <w:lang w:bidi="ar-IQ"/>
        </w:rPr>
      </w:pPr>
      <w:r w:rsidRPr="00CA1620">
        <w:rPr>
          <w:rFonts w:asciiTheme="majorBidi" w:hAnsiTheme="majorBidi" w:cstheme="majorBidi"/>
          <w:sz w:val="24"/>
          <w:szCs w:val="24"/>
          <w:lang w:bidi="ar-IQ"/>
        </w:rPr>
        <w:t xml:space="preserve">That the bank will formulate and devise innovative rules in order to raise its ability to attract and attract customers with the aforementioned deposits, and among these </w:t>
      </w:r>
      <w:r w:rsidRPr="00CA1620">
        <w:rPr>
          <w:rFonts w:asciiTheme="majorBidi" w:hAnsiTheme="majorBidi" w:cstheme="majorBidi"/>
          <w:sz w:val="24"/>
          <w:szCs w:val="24"/>
          <w:lang w:bidi="ar-IQ"/>
        </w:rPr>
        <w:lastRenderedPageBreak/>
        <w:t>methods and financing formulas in which it will invest money are (Al-Shamri, 2008: 53-69)</w:t>
      </w:r>
    </w:p>
    <w:p w:rsidR="00625294" w:rsidRDefault="00CA1620" w:rsidP="00CA1620">
      <w:pPr>
        <w:bidi w:val="0"/>
        <w:jc w:val="mediumKashida"/>
        <w:rPr>
          <w:rFonts w:asciiTheme="majorBidi" w:hAnsiTheme="majorBidi" w:cstheme="majorBidi"/>
          <w:sz w:val="24"/>
          <w:szCs w:val="24"/>
          <w:lang w:bidi="ar-IQ"/>
        </w:rPr>
      </w:pPr>
      <w:r w:rsidRPr="007B5CB4">
        <w:rPr>
          <w:rFonts w:asciiTheme="majorBidi" w:hAnsiTheme="majorBidi" w:cstheme="majorBidi"/>
          <w:b/>
          <w:bCs/>
          <w:color w:val="00B050"/>
          <w:sz w:val="24"/>
          <w:szCs w:val="24"/>
          <w:lang w:bidi="ar-IQ"/>
        </w:rPr>
        <w:t>1- Mudaraba:</w:t>
      </w:r>
      <w:r w:rsidRPr="00CA1620">
        <w:rPr>
          <w:rFonts w:asciiTheme="majorBidi" w:hAnsiTheme="majorBidi" w:cstheme="majorBidi"/>
          <w:sz w:val="24"/>
          <w:szCs w:val="24"/>
          <w:lang w:bidi="ar-IQ"/>
        </w:rPr>
        <w:t xml:space="preserve"> It is a permissible contract that has no term, which is giving money to someone who tries it according to a percentage of the profit and according to the Mudaraba contract to use this money for known and specific purposes (project) in return for a certain percentage of the profit, as</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The profit is distributed according to what has been agreed upon, and the loss is on the capital, where the speculator does not bear any of it unless it is proven that he has transgressed or shortened after investigation with him, and if the result is a loss, the owner of the money bears the loss. As for the investor, he loses his effort and time and may not be made silent for the capital.</w:t>
      </w:r>
    </w:p>
    <w:p w:rsidR="00CA1620" w:rsidRPr="00CA1620" w:rsidRDefault="00CA1620" w:rsidP="00CA1620">
      <w:pPr>
        <w:bidi w:val="0"/>
        <w:jc w:val="mediumKashida"/>
        <w:rPr>
          <w:rFonts w:asciiTheme="majorBidi" w:hAnsiTheme="majorBidi" w:cstheme="majorBidi"/>
          <w:sz w:val="24"/>
          <w:szCs w:val="24"/>
          <w:lang w:bidi="ar-IQ"/>
        </w:rPr>
      </w:pPr>
      <w:r w:rsidRPr="007B5CB4">
        <w:rPr>
          <w:rFonts w:asciiTheme="majorBidi" w:hAnsiTheme="majorBidi" w:cstheme="majorBidi"/>
          <w:b/>
          <w:bCs/>
          <w:color w:val="00B050"/>
          <w:sz w:val="24"/>
          <w:szCs w:val="24"/>
          <w:lang w:bidi="ar-IQ"/>
        </w:rPr>
        <w:t>2- Musharaka</w:t>
      </w:r>
      <w:r w:rsidRPr="007B5CB4">
        <w:rPr>
          <w:rFonts w:asciiTheme="majorBidi" w:hAnsiTheme="majorBidi" w:cstheme="majorBidi"/>
          <w:color w:val="00B050"/>
          <w:sz w:val="24"/>
          <w:szCs w:val="24"/>
          <w:lang w:bidi="ar-IQ"/>
        </w:rPr>
        <w:t>:</w:t>
      </w:r>
      <w:r w:rsidRPr="00CA1620">
        <w:rPr>
          <w:rFonts w:asciiTheme="majorBidi" w:hAnsiTheme="majorBidi" w:cstheme="majorBidi"/>
          <w:sz w:val="24"/>
          <w:szCs w:val="24"/>
          <w:lang w:bidi="ar-IQ"/>
        </w:rPr>
        <w:t xml:space="preserve"> It means the company or partnership and its contract is similar to the Mudaraba contract, and it is a contract under which two or more persons are obligated to each of them contribute in a financial project to provide his share of money or work to invest that project and to share the resulting sheep and fines.</w:t>
      </w:r>
    </w:p>
    <w:p w:rsidR="00CA1620" w:rsidRPr="00CA1620" w:rsidRDefault="00CA1620" w:rsidP="00CA1620">
      <w:pPr>
        <w:bidi w:val="0"/>
        <w:jc w:val="mediumKashida"/>
        <w:rPr>
          <w:rFonts w:asciiTheme="majorBidi" w:hAnsiTheme="majorBidi" w:cstheme="majorBidi"/>
          <w:sz w:val="24"/>
          <w:szCs w:val="24"/>
          <w:lang w:bidi="ar-IQ"/>
        </w:rPr>
      </w:pPr>
      <w:r w:rsidRPr="007B5CB4">
        <w:rPr>
          <w:rFonts w:asciiTheme="majorBidi" w:hAnsiTheme="majorBidi" w:cstheme="majorBidi"/>
          <w:b/>
          <w:bCs/>
          <w:color w:val="00B050"/>
          <w:sz w:val="24"/>
          <w:szCs w:val="24"/>
          <w:lang w:bidi="ar-IQ"/>
        </w:rPr>
        <w:t>3- Murabaha:</w:t>
      </w:r>
      <w:r w:rsidRPr="00CA1620">
        <w:rPr>
          <w:rFonts w:asciiTheme="majorBidi" w:hAnsiTheme="majorBidi" w:cstheme="majorBidi"/>
          <w:sz w:val="24"/>
          <w:szCs w:val="24"/>
          <w:lang w:bidi="ar-IQ"/>
        </w:rPr>
        <w:t xml:space="preserve"> It is the sale of a commodity for the same price as the first price at which the seller bought it, with an increase in a known and agreed profit for a lump sum or a percentage of the first price.</w:t>
      </w:r>
    </w:p>
    <w:p w:rsidR="00CA1620" w:rsidRPr="007B5CB4" w:rsidRDefault="00CA1620" w:rsidP="00CA1620">
      <w:pPr>
        <w:bidi w:val="0"/>
        <w:jc w:val="mediumKashida"/>
        <w:rPr>
          <w:rFonts w:asciiTheme="majorBidi" w:hAnsiTheme="majorBidi" w:cstheme="majorBidi"/>
          <w:b/>
          <w:bCs/>
          <w:color w:val="FF0000"/>
          <w:sz w:val="24"/>
          <w:szCs w:val="24"/>
          <w:lang w:bidi="ar-IQ"/>
        </w:rPr>
      </w:pPr>
      <w:r w:rsidRPr="007B5CB4">
        <w:rPr>
          <w:rFonts w:asciiTheme="majorBidi" w:hAnsiTheme="majorBidi" w:cstheme="majorBidi"/>
          <w:b/>
          <w:bCs/>
          <w:color w:val="FF0000"/>
          <w:sz w:val="24"/>
          <w:szCs w:val="24"/>
          <w:lang w:bidi="ar-IQ"/>
        </w:rPr>
        <w:t>The second branch</w:t>
      </w:r>
      <w:r w:rsidR="007B5CB4" w:rsidRPr="007B5CB4">
        <w:rPr>
          <w:rFonts w:asciiTheme="majorBidi" w:hAnsiTheme="majorBidi" w:cstheme="majorBidi"/>
          <w:b/>
          <w:bCs/>
          <w:color w:val="FF0000"/>
          <w:sz w:val="24"/>
          <w:szCs w:val="24"/>
          <w:lang w:bidi="ar-IQ"/>
        </w:rPr>
        <w:t xml:space="preserve"> </w:t>
      </w:r>
      <w:r w:rsidRPr="007B5CB4">
        <w:rPr>
          <w:rFonts w:asciiTheme="majorBidi" w:hAnsiTheme="majorBidi" w:cstheme="majorBidi"/>
          <w:b/>
          <w:bCs/>
          <w:color w:val="FF0000"/>
          <w:sz w:val="24"/>
          <w:szCs w:val="24"/>
          <w:lang w:bidi="ar-IQ"/>
        </w:rPr>
        <w:t>: the stock market</w:t>
      </w:r>
    </w:p>
    <w:p w:rsidR="00CA1620" w:rsidRPr="007B5CB4" w:rsidRDefault="00CA1620" w:rsidP="00CC0B17">
      <w:pPr>
        <w:bidi w:val="0"/>
        <w:spacing w:after="0"/>
        <w:jc w:val="mediumKashida"/>
        <w:rPr>
          <w:rFonts w:asciiTheme="majorBidi" w:hAnsiTheme="majorBidi" w:cstheme="majorBidi"/>
          <w:b/>
          <w:bCs/>
          <w:color w:val="365F91" w:themeColor="accent1" w:themeShade="BF"/>
          <w:sz w:val="24"/>
          <w:szCs w:val="24"/>
          <w:lang w:bidi="ar-IQ"/>
        </w:rPr>
      </w:pPr>
      <w:r w:rsidRPr="007B5CB4">
        <w:rPr>
          <w:rFonts w:asciiTheme="majorBidi" w:hAnsiTheme="majorBidi" w:cstheme="majorBidi"/>
          <w:b/>
          <w:bCs/>
          <w:color w:val="365F91" w:themeColor="accent1" w:themeShade="BF"/>
          <w:sz w:val="24"/>
          <w:szCs w:val="24"/>
          <w:lang w:bidi="ar-IQ"/>
        </w:rPr>
        <w:t xml:space="preserve">1) </w:t>
      </w:r>
      <w:r w:rsidR="00CC0B17">
        <w:rPr>
          <w:rFonts w:asciiTheme="majorBidi" w:hAnsiTheme="majorBidi" w:cstheme="majorBidi"/>
          <w:b/>
          <w:bCs/>
          <w:color w:val="365F91" w:themeColor="accent1" w:themeShade="BF"/>
          <w:sz w:val="24"/>
          <w:szCs w:val="24"/>
          <w:lang w:bidi="ar-IQ"/>
        </w:rPr>
        <w:t>Originate</w:t>
      </w:r>
    </w:p>
    <w:p w:rsidR="00CA1620" w:rsidRPr="00CA1620" w:rsidRDefault="00CA1620" w:rsidP="00E335FB">
      <w:pPr>
        <w:bidi w:val="0"/>
        <w:spacing w:after="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xml:space="preserve">      The emergence and development of financial markets came as a reflection of the growing economic conditions and needs in the countries in which they existed. The emergence of markets was not a coincidence, but was due to the requirements of commercial and economic development in those countries. And the emergence of companies with financial surpluses, as these companies sought to invest surpluses through those markets. (Al-Dama’i, 2010: 115-144).</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xml:space="preserve">     Among the oldest stock exchanges that established the Anvers Stock Exchange, Frankfurt, Barcelona, ​​Lyon, New York Stock Exchange (1993), Liverpool (1873), New Orleans (1880), and in the Arab world, the Alexandria Stock Exchange (1883), and the Cairo Stock Exchange (1890). (Al-Hindi and Al-Nashif, 2000, 55)</w:t>
      </w:r>
    </w:p>
    <w:p w:rsidR="00CA1620" w:rsidRPr="00CA1620" w:rsidRDefault="00CA1620" w:rsidP="00CA1620">
      <w:pPr>
        <w:bidi w:val="0"/>
        <w:jc w:val="mediumKashida"/>
        <w:rPr>
          <w:rFonts w:asciiTheme="majorBidi" w:hAnsiTheme="majorBidi" w:cstheme="majorBidi"/>
          <w:sz w:val="24"/>
          <w:szCs w:val="24"/>
          <w:lang w:bidi="ar-IQ"/>
        </w:rPr>
      </w:pPr>
      <w:r w:rsidRPr="007B5CB4">
        <w:rPr>
          <w:rFonts w:asciiTheme="majorBidi" w:hAnsiTheme="majorBidi" w:cstheme="majorBidi"/>
          <w:b/>
          <w:bCs/>
          <w:color w:val="365F91" w:themeColor="accent1" w:themeShade="BF"/>
          <w:sz w:val="24"/>
          <w:szCs w:val="24"/>
          <w:lang w:bidi="ar-IQ"/>
        </w:rPr>
        <w:t>2) The concept of financial markets</w:t>
      </w:r>
      <w:r w:rsidRPr="00CA1620">
        <w:rPr>
          <w:rFonts w:asciiTheme="majorBidi" w:hAnsiTheme="majorBidi" w:cstheme="majorBidi"/>
          <w:sz w:val="24"/>
          <w:szCs w:val="24"/>
          <w:lang w:bidi="ar-IQ"/>
        </w:rPr>
        <w:t>:</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There are several definitions of financial markets, including:</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 The framework that brings together the saving units that wish to invest and the financial deficit units that need funds to invest them through specialized categories operating in the market, provided that effective communication channels are available (Taleb et al., 2016: 180).</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lastRenderedPageBreak/>
        <w:t>• It is a system whereby sellers and buyers are combined for a certain type of securities or a specific financial asset, as investors are able to buy and sell a number of shares and bonds within the market, either through brokers or companies working in this field, but with the growth of networks and means of communication This reduced the importance of the presence in the headquarters of the central stock market, and thus allowed to deal from outside the market through brokerage companies spread in various countries. ( L.Rousscau and Wachtel , 2005 , 2 )</w:t>
      </w:r>
    </w:p>
    <w:p w:rsidR="00CA1620" w:rsidRPr="007B5CB4" w:rsidRDefault="00CA1620" w:rsidP="00CA1620">
      <w:pPr>
        <w:bidi w:val="0"/>
        <w:jc w:val="mediumKashida"/>
        <w:rPr>
          <w:rFonts w:asciiTheme="majorBidi" w:hAnsiTheme="majorBidi" w:cstheme="majorBidi"/>
          <w:b/>
          <w:bCs/>
          <w:color w:val="365F91" w:themeColor="accent1" w:themeShade="BF"/>
          <w:sz w:val="24"/>
          <w:szCs w:val="24"/>
          <w:lang w:bidi="ar-IQ"/>
        </w:rPr>
      </w:pPr>
      <w:r w:rsidRPr="007B5CB4">
        <w:rPr>
          <w:rFonts w:asciiTheme="majorBidi" w:hAnsiTheme="majorBidi" w:cstheme="majorBidi"/>
          <w:b/>
          <w:bCs/>
          <w:color w:val="365F91" w:themeColor="accent1" w:themeShade="BF"/>
          <w:sz w:val="24"/>
          <w:szCs w:val="24"/>
          <w:lang w:bidi="ar-IQ"/>
        </w:rPr>
        <w:t>3) Characteristics of financial markets:</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Its most prominent characteristics lie in the following: (Al-Hasnawi, 2017: 34)</w:t>
      </w:r>
    </w:p>
    <w:p w:rsidR="00CA1620" w:rsidRP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b/>
          <w:bCs/>
          <w:color w:val="00B050"/>
          <w:sz w:val="24"/>
          <w:szCs w:val="24"/>
          <w:lang w:bidi="ar-IQ"/>
        </w:rPr>
        <w:t>• Operational efficiency:</w:t>
      </w:r>
      <w:r w:rsidRPr="00CA1620">
        <w:rPr>
          <w:rFonts w:asciiTheme="majorBidi" w:hAnsiTheme="majorBidi" w:cstheme="majorBidi"/>
          <w:sz w:val="24"/>
          <w:szCs w:val="24"/>
          <w:lang w:bidi="ar-IQ"/>
        </w:rPr>
        <w:t xml:space="preserve"> It is the market's ability to transfer money and resources to those who need them, at less than the cost that arises from transactions, which is called the transaction cost, and includes the cost of financial intermediation and the cost of transferring the security, so the success of the financial market depends to a large degree on reducing this cost.</w:t>
      </w:r>
    </w:p>
    <w:p w:rsidR="00CA1620" w:rsidRP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b/>
          <w:bCs/>
          <w:color w:val="00B050"/>
          <w:sz w:val="24"/>
          <w:szCs w:val="24"/>
          <w:lang w:bidi="ar-IQ"/>
        </w:rPr>
        <w:t>• Efficiency of resource allocation</w:t>
      </w:r>
      <w:r w:rsidRPr="00CA1620">
        <w:rPr>
          <w:rFonts w:asciiTheme="majorBidi" w:hAnsiTheme="majorBidi" w:cstheme="majorBidi"/>
          <w:sz w:val="24"/>
          <w:szCs w:val="24"/>
          <w:lang w:bidi="ar-IQ"/>
        </w:rPr>
        <w:t>: The main task of the financial markets is to transfer surplus funds from those who have the surplus to those who need them, which is not an easy task because one of its conditions is to be done efficiently or what is called efficient allocation.</w:t>
      </w:r>
    </w:p>
    <w:p w:rsidR="00CA1620" w:rsidRP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b/>
          <w:bCs/>
          <w:color w:val="00B050"/>
          <w:sz w:val="24"/>
          <w:szCs w:val="24"/>
          <w:lang w:bidi="ar-IQ"/>
        </w:rPr>
        <w:t>Providing liquidity:</w:t>
      </w:r>
      <w:r w:rsidRPr="00CA1620">
        <w:rPr>
          <w:rFonts w:asciiTheme="majorBidi" w:hAnsiTheme="majorBidi" w:cstheme="majorBidi"/>
          <w:sz w:val="24"/>
          <w:szCs w:val="24"/>
          <w:lang w:bidi="ar-IQ"/>
        </w:rPr>
        <w:t xml:space="preserve"> it is known that shares have no history, but shareholders can return them to the issuing company, and the same applies to bonds, despite their different maturity dates, so the market in this is the only recourse that the investor can sell his papers and convert them into cash.</w:t>
      </w:r>
    </w:p>
    <w:p w:rsidR="00CA1620" w:rsidRP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b/>
          <w:bCs/>
          <w:color w:val="00B050"/>
          <w:sz w:val="24"/>
          <w:szCs w:val="24"/>
          <w:lang w:bidi="ar-IQ"/>
        </w:rPr>
        <w:t>Providing information and immediate response to any new events:</w:t>
      </w:r>
      <w:r w:rsidRPr="00CA1620">
        <w:rPr>
          <w:rFonts w:asciiTheme="majorBidi" w:hAnsiTheme="majorBidi" w:cstheme="majorBidi"/>
          <w:sz w:val="24"/>
          <w:szCs w:val="24"/>
          <w:lang w:bidi="ar-IQ"/>
        </w:rPr>
        <w:t xml:space="preserve"> The market is the most important source of information on traded investments, especially prices and volumes, as well as the movement of dealings. It is not limited to providing information only, but it must respond quickly to any changes or events because of their impact on stock prices, and this feature It is called market efficiency.</w:t>
      </w:r>
    </w:p>
    <w:p w:rsidR="00CA1620" w:rsidRPr="003F56C5" w:rsidRDefault="00CA1620" w:rsidP="00CA1620">
      <w:pPr>
        <w:bidi w:val="0"/>
        <w:jc w:val="mediumKashida"/>
        <w:rPr>
          <w:rFonts w:asciiTheme="majorBidi" w:hAnsiTheme="majorBidi" w:cstheme="majorBidi"/>
          <w:b/>
          <w:bCs/>
          <w:color w:val="365F91" w:themeColor="accent1" w:themeShade="BF"/>
          <w:sz w:val="24"/>
          <w:szCs w:val="24"/>
          <w:lang w:bidi="ar-IQ"/>
        </w:rPr>
      </w:pPr>
      <w:r w:rsidRPr="003F56C5">
        <w:rPr>
          <w:rFonts w:asciiTheme="majorBidi" w:hAnsiTheme="majorBidi" w:cstheme="majorBidi"/>
          <w:b/>
          <w:bCs/>
          <w:color w:val="365F91" w:themeColor="accent1" w:themeShade="BF"/>
          <w:sz w:val="24"/>
          <w:szCs w:val="24"/>
          <w:lang w:bidi="ar-IQ"/>
        </w:rPr>
        <w:t>4) Types of financial markets:</w:t>
      </w:r>
    </w:p>
    <w:p w:rsidR="00CA1620" w:rsidRPr="00CA1620" w:rsidRDefault="00CA1620" w:rsidP="00CA1620">
      <w:pPr>
        <w:bidi w:val="0"/>
        <w:jc w:val="mediumKashida"/>
        <w:rPr>
          <w:rFonts w:asciiTheme="majorBidi" w:hAnsiTheme="majorBidi" w:cstheme="majorBidi"/>
          <w:sz w:val="24"/>
          <w:szCs w:val="24"/>
          <w:lang w:bidi="ar-IQ"/>
        </w:rPr>
      </w:pPr>
      <w:r w:rsidRPr="00CA1620">
        <w:rPr>
          <w:rFonts w:asciiTheme="majorBidi" w:hAnsiTheme="majorBidi" w:cstheme="majorBidi"/>
          <w:sz w:val="24"/>
          <w:szCs w:val="24"/>
          <w:lang w:bidi="ar-IQ"/>
        </w:rPr>
        <w:t>Financial markets can be classified into two markets: (Al-Nukali, 1994: 19)</w:t>
      </w:r>
    </w:p>
    <w:p w:rsidR="00CA1620" w:rsidRP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b/>
          <w:bCs/>
          <w:color w:val="00B050"/>
          <w:sz w:val="24"/>
          <w:szCs w:val="24"/>
          <w:lang w:bidi="ar-IQ"/>
        </w:rPr>
        <w:t>A) primary market (version Market):</w:t>
      </w:r>
      <w:r w:rsidRPr="00CA1620">
        <w:rPr>
          <w:rFonts w:asciiTheme="majorBidi" w:hAnsiTheme="majorBidi" w:cstheme="majorBidi"/>
          <w:sz w:val="24"/>
          <w:szCs w:val="24"/>
          <w:lang w:bidi="ar-IQ"/>
        </w:rPr>
        <w:t xml:space="preserve"> it is the market that has been the issuance of securities (stocks, bonds) the first time and sell them to the buyer first, and the associated work initial market or version market Baanaaj businesses or governments to cash balances to fund its investment, and then resort to the issuance of financial assets represents a commitment to the future its income, it may be this commitment in the form of contribution is to the owner the right to the results of the issuer, with the right of its assets (equity), and in the form of a loan is to its owner the right to value according to the maturity of the date in addition to a specified amount Linked to the term of the loan(s).</w:t>
      </w:r>
    </w:p>
    <w:p w:rsidR="00CA1620" w:rsidRDefault="00CA1620" w:rsidP="00CA1620">
      <w:pPr>
        <w:bidi w:val="0"/>
        <w:jc w:val="mediumKashida"/>
        <w:rPr>
          <w:rFonts w:asciiTheme="majorBidi" w:hAnsiTheme="majorBidi" w:cstheme="majorBidi"/>
          <w:sz w:val="24"/>
          <w:szCs w:val="24"/>
          <w:lang w:bidi="ar-IQ"/>
        </w:rPr>
      </w:pPr>
      <w:r w:rsidRPr="003F56C5">
        <w:rPr>
          <w:rFonts w:asciiTheme="majorBidi" w:hAnsiTheme="majorBidi" w:cstheme="majorBidi"/>
          <w:color w:val="00B050"/>
          <w:sz w:val="24"/>
          <w:szCs w:val="24"/>
          <w:lang w:bidi="ar-IQ"/>
        </w:rPr>
        <w:lastRenderedPageBreak/>
        <w:t>b) Secondary market (trading market):</w:t>
      </w:r>
      <w:r w:rsidRPr="00CA1620">
        <w:rPr>
          <w:rFonts w:asciiTheme="majorBidi" w:hAnsiTheme="majorBidi" w:cstheme="majorBidi"/>
          <w:sz w:val="24"/>
          <w:szCs w:val="24"/>
          <w:lang w:bidi="ar-IQ"/>
        </w:rPr>
        <w:t xml:space="preserve"> It is the market in which previously issued shares and bonds are dealt with, and which are traded among investors, and it is the trading market in which securities are bought and sold and traded between the holder and another investor after the stage of their issuance in the primary market. In other words, it is the market in which the values ​​of the various investment tools are determined naturally through the confluence of supply and demand by any known means of communication, and this means that the secondary market provides the place and laws necessary to organize the exchange of securities between investors and to create the necessary liquidity to convert securities into cash. . (Andritzky, 2007, 15)</w:t>
      </w:r>
    </w:p>
    <w:p w:rsidR="00CA1620" w:rsidRDefault="00CA1620" w:rsidP="00B1072E">
      <w:pPr>
        <w:bidi w:val="0"/>
        <w:spacing w:after="0"/>
        <w:jc w:val="mediumKashida"/>
        <w:rPr>
          <w:rFonts w:asciiTheme="majorBidi" w:hAnsiTheme="majorBidi" w:cstheme="majorBidi"/>
          <w:b/>
          <w:bCs/>
          <w:color w:val="FF0000"/>
          <w:sz w:val="24"/>
          <w:szCs w:val="24"/>
          <w:u w:val="single"/>
          <w:lang w:bidi="ar-IQ"/>
        </w:rPr>
      </w:pPr>
      <w:r w:rsidRPr="00B1072E">
        <w:rPr>
          <w:rFonts w:asciiTheme="majorBidi" w:hAnsiTheme="majorBidi" w:cstheme="majorBidi"/>
          <w:b/>
          <w:bCs/>
          <w:color w:val="FF0000"/>
          <w:sz w:val="24"/>
          <w:szCs w:val="24"/>
          <w:u w:val="single"/>
          <w:lang w:bidi="ar-IQ"/>
        </w:rPr>
        <w:t>The second topic</w:t>
      </w:r>
    </w:p>
    <w:p w:rsidR="006C7B16" w:rsidRPr="00CB56AE" w:rsidRDefault="006C7B16" w:rsidP="006C7B16">
      <w:pPr>
        <w:bidi w:val="0"/>
        <w:spacing w:after="0"/>
        <w:jc w:val="mediumKashida"/>
        <w:rPr>
          <w:rFonts w:asciiTheme="majorBidi" w:hAnsiTheme="majorBidi" w:cstheme="majorBidi"/>
          <w:b/>
          <w:bCs/>
          <w:color w:val="FF0000"/>
          <w:sz w:val="8"/>
          <w:szCs w:val="8"/>
          <w:u w:val="single"/>
          <w:lang w:bidi="ar-IQ"/>
        </w:rPr>
      </w:pPr>
    </w:p>
    <w:p w:rsidR="00CA1620" w:rsidRPr="001F7980" w:rsidRDefault="00CA1620" w:rsidP="00CA1620">
      <w:pPr>
        <w:bidi w:val="0"/>
        <w:jc w:val="mediumKashida"/>
        <w:rPr>
          <w:rFonts w:asciiTheme="majorBidi" w:hAnsiTheme="majorBidi" w:cstheme="majorBidi"/>
          <w:b/>
          <w:bCs/>
          <w:color w:val="C00000"/>
          <w:sz w:val="24"/>
          <w:szCs w:val="24"/>
          <w:lang w:bidi="ar-IQ"/>
        </w:rPr>
      </w:pPr>
      <w:r w:rsidRPr="003C1E2E">
        <w:rPr>
          <w:rFonts w:asciiTheme="majorBidi" w:hAnsiTheme="majorBidi" w:cstheme="majorBidi"/>
          <w:b/>
          <w:bCs/>
          <w:color w:val="FF0000"/>
          <w:sz w:val="24"/>
          <w:szCs w:val="24"/>
          <w:u w:val="single"/>
          <w:lang w:bidi="ar-IQ"/>
        </w:rPr>
        <w:t>The first section</w:t>
      </w:r>
      <w:r w:rsidR="001F7980" w:rsidRPr="001F7980">
        <w:rPr>
          <w:rFonts w:asciiTheme="majorBidi" w:hAnsiTheme="majorBidi" w:cstheme="majorBidi"/>
          <w:b/>
          <w:bCs/>
          <w:color w:val="C00000"/>
          <w:sz w:val="24"/>
          <w:szCs w:val="24"/>
          <w:lang w:bidi="ar-IQ"/>
        </w:rPr>
        <w:t xml:space="preserve"> </w:t>
      </w:r>
      <w:r w:rsidRPr="001F7980">
        <w:rPr>
          <w:rFonts w:asciiTheme="majorBidi" w:hAnsiTheme="majorBidi" w:cstheme="majorBidi"/>
          <w:b/>
          <w:bCs/>
          <w:color w:val="C00000"/>
          <w:sz w:val="24"/>
          <w:szCs w:val="24"/>
          <w:lang w:bidi="ar-IQ"/>
        </w:rPr>
        <w:t>: In this topic, the indicators of Iraqi Islamic banks will be analyzed for the period (2004-2018) in the Iraqi Stock Exchange, bearing in mind that the indicators that will be studied are: (market value, trading volume) and my agencies:</w:t>
      </w:r>
    </w:p>
    <w:p w:rsidR="00CA1620" w:rsidRPr="00CB56AE" w:rsidRDefault="00CA1620" w:rsidP="00B1072E">
      <w:pPr>
        <w:bidi w:val="0"/>
        <w:spacing w:after="0"/>
        <w:jc w:val="mediumKashida"/>
        <w:rPr>
          <w:rFonts w:asciiTheme="majorBidi" w:hAnsiTheme="majorBidi" w:cstheme="majorBidi"/>
          <w:b/>
          <w:bCs/>
          <w:color w:val="0070C0"/>
          <w:sz w:val="24"/>
          <w:szCs w:val="24"/>
          <w:lang w:bidi="ar-IQ"/>
        </w:rPr>
      </w:pPr>
      <w:r w:rsidRPr="00CB56AE">
        <w:rPr>
          <w:rFonts w:asciiTheme="majorBidi" w:hAnsiTheme="majorBidi" w:cstheme="majorBidi"/>
          <w:b/>
          <w:bCs/>
          <w:color w:val="0070C0"/>
          <w:sz w:val="24"/>
          <w:szCs w:val="24"/>
          <w:lang w:bidi="ar-IQ"/>
        </w:rPr>
        <w:t>1) Analysis of the market value index of Iraqi Islamic banks for the period (2004-2018):</w:t>
      </w:r>
    </w:p>
    <w:p w:rsidR="00CA1620" w:rsidRDefault="00BC477A" w:rsidP="00061F19">
      <w:pPr>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CA1620" w:rsidRPr="00CA1620">
        <w:rPr>
          <w:rFonts w:asciiTheme="majorBidi" w:hAnsiTheme="majorBidi" w:cstheme="majorBidi"/>
          <w:sz w:val="24"/>
          <w:szCs w:val="24"/>
          <w:lang w:bidi="ar-IQ"/>
        </w:rPr>
        <w:t>Through table (1), it becomes clear to us the market value index of Iraqi Islamic banks for the period (2004-2018) for fifteen Islamic banks that were traded for the study period in the Iraqi Stock Exchange.</w:t>
      </w:r>
    </w:p>
    <w:p w:rsidR="00BC477A" w:rsidRDefault="00BC477A" w:rsidP="00061F19">
      <w:pPr>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74503" w:rsidRPr="00274503">
        <w:rPr>
          <w:rFonts w:asciiTheme="majorBidi" w:hAnsiTheme="majorBidi" w:cstheme="majorBidi"/>
          <w:sz w:val="24"/>
          <w:szCs w:val="24"/>
          <w:lang w:bidi="ar-IQ"/>
        </w:rPr>
        <w:t>The market value index is one of the indicators for measuring the size of banks in the Iraqi stock market, and Table (1) shows the fluctuation in the total market value during the study period. In 2004, the total market value amounted to (11376) million dinars for the Iraqi Islamic Bank only because it is the only bank traded in the market The total rose to (104944) million dinars in 2005, and in 2006 the total market value of Islamic banks continued to rise in the Iraqi Stock Exchange with the entry of the Kurdistan International Islamic Bank, as the total amounted to (221757) million dinars, and the reason is due to the improvement of the economic and security conditions. The total decreased to (107977) million dinars for the year 2007, and the decline continued, as the total market value reached (100477) million dinars for the year 2008 due to bad conditions, then in 2009 the total value increased, r</w:t>
      </w:r>
      <w:r w:rsidR="00274503">
        <w:rPr>
          <w:rFonts w:asciiTheme="majorBidi" w:hAnsiTheme="majorBidi" w:cstheme="majorBidi"/>
          <w:sz w:val="24"/>
          <w:szCs w:val="24"/>
          <w:lang w:bidi="ar-IQ"/>
        </w:rPr>
        <w:t xml:space="preserve">eaching (146252) million dinars, </w:t>
      </w:r>
      <w:r w:rsidRPr="001F08A3">
        <w:rPr>
          <w:rFonts w:asciiTheme="majorBidi" w:hAnsiTheme="majorBidi" w:cstheme="majorBidi"/>
          <w:sz w:val="24"/>
          <w:szCs w:val="24"/>
          <w:lang w:bidi="ar-IQ"/>
        </w:rPr>
        <w:t>In 2011</w:t>
      </w:r>
      <w:r w:rsidR="00274503">
        <w:rPr>
          <w:rFonts w:asciiTheme="majorBidi" w:hAnsiTheme="majorBidi" w:cstheme="majorBidi"/>
          <w:sz w:val="24"/>
          <w:szCs w:val="24"/>
          <w:lang w:bidi="ar-IQ"/>
        </w:rPr>
        <w:t xml:space="preserve"> </w:t>
      </w:r>
      <w:r w:rsidRPr="001F08A3">
        <w:rPr>
          <w:rFonts w:asciiTheme="majorBidi" w:hAnsiTheme="majorBidi" w:cstheme="majorBidi"/>
          <w:sz w:val="24"/>
          <w:szCs w:val="24"/>
          <w:lang w:bidi="ar-IQ"/>
        </w:rPr>
        <w:t>the value amounted to (617,908) million dinars,</w:t>
      </w:r>
      <w:r w:rsidR="00274503" w:rsidRPr="00274503">
        <w:t xml:space="preserve"> </w:t>
      </w:r>
      <w:r w:rsidR="00274503" w:rsidRPr="00274503">
        <w:rPr>
          <w:rFonts w:asciiTheme="majorBidi" w:hAnsiTheme="majorBidi" w:cstheme="majorBidi"/>
          <w:sz w:val="24"/>
          <w:szCs w:val="24"/>
          <w:lang w:bidi="ar-IQ"/>
        </w:rPr>
        <w:t>and in 2017 the total market value of the Iraqi Islamic banks increased by entering more than one Islamic bank to trade in the Iraqi stock market, namely Noor Iraq Islamic Bank, Zain Iraq Islamic Bank, Al-Qadeed Islamic Bank, Cihan Islamic Bank and Al-Bilad Islamic Bank, as the total market value reached (2934960) million dinars. for the year 2017,</w:t>
      </w:r>
      <w:r w:rsidRPr="001F08A3">
        <w:rPr>
          <w:rFonts w:asciiTheme="majorBidi" w:hAnsiTheme="majorBidi" w:cstheme="majorBidi"/>
          <w:sz w:val="24"/>
          <w:szCs w:val="24"/>
          <w:lang w:bidi="ar-IQ"/>
        </w:rPr>
        <w:t xml:space="preserve"> and in 2018 the market value increased further with the entry of other banks into the stock market, reaching (2629,150) million dinars. The reason for the rise in market value during the years of study is due to several factors, including the improvement of the situation security and economic.</w:t>
      </w:r>
    </w:p>
    <w:p w:rsidR="004526B3" w:rsidRPr="00B1072E" w:rsidRDefault="004526B3" w:rsidP="00061F19">
      <w:pPr>
        <w:spacing w:after="0"/>
        <w:jc w:val="mediumKashida"/>
        <w:rPr>
          <w:rFonts w:ascii="Times New Roman" w:hAnsi="Times New Roman" w:cs="Times New Roman"/>
          <w:sz w:val="16"/>
          <w:szCs w:val="16"/>
          <w:lang w:bidi="ar-IQ"/>
        </w:rPr>
      </w:pPr>
    </w:p>
    <w:p w:rsidR="004526B3" w:rsidRDefault="004526B3" w:rsidP="00274503">
      <w:pPr>
        <w:bidi w:val="0"/>
        <w:jc w:val="lowKashida"/>
        <w:rPr>
          <w:rFonts w:asciiTheme="majorBidi" w:hAnsiTheme="majorBidi" w:cstheme="majorBidi"/>
          <w:b/>
          <w:bCs/>
          <w:sz w:val="24"/>
          <w:szCs w:val="24"/>
          <w:lang w:bidi="ar-IQ"/>
        </w:rPr>
        <w:sectPr w:rsidR="004526B3">
          <w:footerReference w:type="default" r:id="rId8"/>
          <w:pgSz w:w="11906" w:h="16838"/>
          <w:pgMar w:top="1440" w:right="1440" w:bottom="1440" w:left="1440" w:header="720" w:footer="720" w:gutter="0"/>
          <w:cols w:space="720"/>
          <w:docGrid w:linePitch="360"/>
        </w:sectPr>
      </w:pPr>
    </w:p>
    <w:p w:rsidR="004526B3" w:rsidRPr="004526B3" w:rsidRDefault="004526B3" w:rsidP="004526B3">
      <w:pPr>
        <w:bidi w:val="0"/>
        <w:jc w:val="center"/>
        <w:rPr>
          <w:rFonts w:asciiTheme="majorBidi" w:hAnsiTheme="majorBidi" w:cstheme="majorBidi"/>
          <w:b/>
          <w:bCs/>
          <w:sz w:val="24"/>
          <w:szCs w:val="24"/>
          <w:lang w:bidi="ar-IQ"/>
        </w:rPr>
      </w:pPr>
      <w:r w:rsidRPr="004526B3">
        <w:rPr>
          <w:rFonts w:asciiTheme="majorBidi" w:hAnsiTheme="majorBidi" w:cstheme="majorBidi"/>
          <w:b/>
          <w:bCs/>
          <w:sz w:val="24"/>
          <w:szCs w:val="24"/>
          <w:lang w:bidi="ar-IQ"/>
        </w:rPr>
        <w:lastRenderedPageBreak/>
        <w:t>Table (1)</w:t>
      </w:r>
    </w:p>
    <w:p w:rsidR="004526B3" w:rsidRDefault="004526B3" w:rsidP="004526B3">
      <w:pPr>
        <w:bidi w:val="0"/>
        <w:jc w:val="center"/>
        <w:rPr>
          <w:rFonts w:asciiTheme="majorBidi" w:hAnsiTheme="majorBidi" w:cstheme="majorBidi"/>
          <w:b/>
          <w:bCs/>
          <w:sz w:val="24"/>
          <w:szCs w:val="24"/>
          <w:lang w:bidi="ar-IQ"/>
        </w:rPr>
      </w:pPr>
      <w:r w:rsidRPr="004526B3">
        <w:rPr>
          <w:rFonts w:asciiTheme="majorBidi" w:hAnsiTheme="majorBidi" w:cstheme="majorBidi"/>
          <w:b/>
          <w:bCs/>
          <w:sz w:val="24"/>
          <w:szCs w:val="24"/>
          <w:lang w:bidi="ar-IQ"/>
        </w:rPr>
        <w:t>Market value index of Iraqi Islamic banks in the stock market for the period (2004-2018) unit of account (million dinars)</w:t>
      </w:r>
    </w:p>
    <w:p w:rsidR="00B878A3" w:rsidRPr="001F08A3" w:rsidRDefault="004526B3" w:rsidP="001F08A3">
      <w:pPr>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ab/>
      </w:r>
    </w:p>
    <w:tbl>
      <w:tblPr>
        <w:tblStyle w:val="a4"/>
        <w:tblW w:w="16360" w:type="dxa"/>
        <w:jc w:val="center"/>
        <w:tblInd w:w="63" w:type="dxa"/>
        <w:tblLayout w:type="fixed"/>
        <w:tblLook w:val="04A0"/>
      </w:tblPr>
      <w:tblGrid>
        <w:gridCol w:w="450"/>
        <w:gridCol w:w="2289"/>
        <w:gridCol w:w="720"/>
        <w:gridCol w:w="900"/>
        <w:gridCol w:w="900"/>
        <w:gridCol w:w="900"/>
        <w:gridCol w:w="925"/>
        <w:gridCol w:w="816"/>
        <w:gridCol w:w="816"/>
        <w:gridCol w:w="816"/>
        <w:gridCol w:w="947"/>
        <w:gridCol w:w="990"/>
        <w:gridCol w:w="990"/>
        <w:gridCol w:w="990"/>
        <w:gridCol w:w="990"/>
        <w:gridCol w:w="990"/>
        <w:gridCol w:w="931"/>
      </w:tblGrid>
      <w:tr w:rsidR="00B878A3" w:rsidRPr="00E90CDA" w:rsidTr="0004544E">
        <w:trPr>
          <w:trHeight w:val="272"/>
          <w:jc w:val="center"/>
        </w:trPr>
        <w:tc>
          <w:tcPr>
            <w:tcW w:w="450" w:type="dxa"/>
            <w:vMerge w:val="restart"/>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lang w:bidi="ar-IQ"/>
              </w:rPr>
            </w:pPr>
            <w:r>
              <w:rPr>
                <w:rFonts w:asciiTheme="majorBidi" w:hAnsiTheme="majorBidi" w:cstheme="majorBidi"/>
                <w:b/>
                <w:bCs/>
                <w:sz w:val="20"/>
                <w:szCs w:val="20"/>
                <w:lang w:bidi="ar-IQ"/>
              </w:rPr>
              <w:t>T</w:t>
            </w:r>
          </w:p>
        </w:tc>
        <w:tc>
          <w:tcPr>
            <w:tcW w:w="2289" w:type="dxa"/>
            <w:vMerge w:val="restart"/>
            <w:shd w:val="clear" w:color="auto" w:fill="F2DBDB" w:themeFill="accent2" w:themeFillTint="33"/>
          </w:tcPr>
          <w:p w:rsidR="00B878A3" w:rsidRPr="001F08A3" w:rsidRDefault="00B878A3" w:rsidP="001F08A3">
            <w:pPr>
              <w:jc w:val="right"/>
              <w:rPr>
                <w:b/>
                <w:bCs/>
              </w:rPr>
            </w:pPr>
            <w:r w:rsidRPr="001F08A3">
              <w:rPr>
                <w:b/>
                <w:bCs/>
              </w:rPr>
              <w:t>Bank name</w:t>
            </w:r>
          </w:p>
          <w:p w:rsidR="00B878A3" w:rsidRPr="001F08A3" w:rsidRDefault="00B878A3" w:rsidP="001F08A3">
            <w:pPr>
              <w:jc w:val="right"/>
              <w:rPr>
                <w:b/>
                <w:bCs/>
              </w:rPr>
            </w:pPr>
          </w:p>
        </w:tc>
        <w:tc>
          <w:tcPr>
            <w:tcW w:w="13621" w:type="dxa"/>
            <w:gridSpan w:val="15"/>
            <w:tcBorders>
              <w:bottom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B878A3">
              <w:rPr>
                <w:rFonts w:asciiTheme="majorBidi" w:hAnsiTheme="majorBidi" w:cstheme="majorBidi"/>
                <w:b/>
                <w:bCs/>
                <w:sz w:val="20"/>
                <w:szCs w:val="20"/>
                <w:lang w:bidi="ar-IQ"/>
              </w:rPr>
              <w:t>Years in millions of dinars</w:t>
            </w:r>
          </w:p>
        </w:tc>
      </w:tr>
      <w:tr w:rsidR="00B878A3" w:rsidRPr="00E90CDA" w:rsidTr="0004544E">
        <w:trPr>
          <w:trHeight w:val="208"/>
          <w:jc w:val="center"/>
        </w:trPr>
        <w:tc>
          <w:tcPr>
            <w:tcW w:w="450" w:type="dxa"/>
            <w:vMerge/>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p>
        </w:tc>
        <w:tc>
          <w:tcPr>
            <w:tcW w:w="2289" w:type="dxa"/>
            <w:vMerge/>
            <w:shd w:val="clear" w:color="auto" w:fill="F2DBDB" w:themeFill="accent2" w:themeFillTint="33"/>
          </w:tcPr>
          <w:p w:rsidR="00B878A3" w:rsidRPr="001F08A3" w:rsidRDefault="00B878A3" w:rsidP="001F08A3">
            <w:pPr>
              <w:pStyle w:val="a3"/>
              <w:tabs>
                <w:tab w:val="left" w:pos="2968"/>
              </w:tabs>
              <w:ind w:left="0"/>
              <w:jc w:val="right"/>
              <w:rPr>
                <w:rFonts w:asciiTheme="majorBidi" w:hAnsiTheme="majorBidi" w:cstheme="majorBidi"/>
                <w:b/>
                <w:bCs/>
                <w:sz w:val="20"/>
                <w:szCs w:val="20"/>
                <w:rtl/>
                <w:lang w:bidi="ar-IQ"/>
              </w:rPr>
            </w:pPr>
          </w:p>
        </w:tc>
        <w:tc>
          <w:tcPr>
            <w:tcW w:w="72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2004</w:t>
            </w:r>
          </w:p>
        </w:tc>
        <w:tc>
          <w:tcPr>
            <w:tcW w:w="90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2005</w:t>
            </w:r>
          </w:p>
        </w:tc>
        <w:tc>
          <w:tcPr>
            <w:tcW w:w="90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2006</w:t>
            </w:r>
          </w:p>
        </w:tc>
        <w:tc>
          <w:tcPr>
            <w:tcW w:w="90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2007</w:t>
            </w:r>
          </w:p>
        </w:tc>
        <w:tc>
          <w:tcPr>
            <w:tcW w:w="925"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2008</w:t>
            </w:r>
          </w:p>
        </w:tc>
        <w:tc>
          <w:tcPr>
            <w:tcW w:w="816"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2009</w:t>
            </w:r>
          </w:p>
        </w:tc>
        <w:tc>
          <w:tcPr>
            <w:tcW w:w="816"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2010</w:t>
            </w:r>
          </w:p>
        </w:tc>
        <w:tc>
          <w:tcPr>
            <w:tcW w:w="816"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2011</w:t>
            </w:r>
          </w:p>
        </w:tc>
        <w:tc>
          <w:tcPr>
            <w:tcW w:w="947"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2012</w:t>
            </w:r>
          </w:p>
        </w:tc>
        <w:tc>
          <w:tcPr>
            <w:tcW w:w="99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2013</w:t>
            </w:r>
          </w:p>
        </w:tc>
        <w:tc>
          <w:tcPr>
            <w:tcW w:w="99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2014</w:t>
            </w:r>
          </w:p>
        </w:tc>
        <w:tc>
          <w:tcPr>
            <w:tcW w:w="99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2015</w:t>
            </w:r>
          </w:p>
        </w:tc>
        <w:tc>
          <w:tcPr>
            <w:tcW w:w="99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2016</w:t>
            </w:r>
          </w:p>
        </w:tc>
        <w:tc>
          <w:tcPr>
            <w:tcW w:w="990"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2017</w:t>
            </w:r>
          </w:p>
        </w:tc>
        <w:tc>
          <w:tcPr>
            <w:tcW w:w="931" w:type="dxa"/>
            <w:tcBorders>
              <w:top w:val="single" w:sz="4" w:space="0" w:color="auto"/>
            </w:tcBorders>
            <w:shd w:val="clear" w:color="auto" w:fill="F2DBDB" w:themeFill="accent2" w:themeFillTint="33"/>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2018</w:t>
            </w:r>
          </w:p>
        </w:tc>
      </w:tr>
      <w:tr w:rsidR="00B878A3" w:rsidRPr="00E90CDA" w:rsidTr="0004544E">
        <w:trPr>
          <w:cantSplit/>
          <w:trHeight w:val="188"/>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w:t>
            </w:r>
          </w:p>
        </w:tc>
        <w:tc>
          <w:tcPr>
            <w:tcW w:w="2289" w:type="dxa"/>
            <w:shd w:val="clear" w:color="auto" w:fill="F2DBDB" w:themeFill="accent2" w:themeFillTint="33"/>
          </w:tcPr>
          <w:p w:rsidR="00B878A3" w:rsidRPr="001F08A3" w:rsidRDefault="00B878A3" w:rsidP="001F08A3">
            <w:pPr>
              <w:jc w:val="right"/>
              <w:rPr>
                <w:b/>
                <w:bCs/>
              </w:rPr>
            </w:pPr>
            <w:r w:rsidRPr="001F08A3">
              <w:rPr>
                <w:b/>
                <w:bCs/>
              </w:rPr>
              <w:t>Iraqi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11376</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104944</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21757</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20477</w:t>
            </w: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20477</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53752</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46073</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103408</w:t>
            </w: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186960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260580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237500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127500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150000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125000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100000</w:t>
            </w:r>
          </w:p>
        </w:tc>
      </w:tr>
      <w:tr w:rsidR="00B878A3" w:rsidRPr="00E90CDA" w:rsidTr="0004544E">
        <w:trPr>
          <w:cantSplit/>
          <w:trHeight w:val="188"/>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2</w:t>
            </w:r>
          </w:p>
        </w:tc>
        <w:tc>
          <w:tcPr>
            <w:tcW w:w="2289" w:type="dxa"/>
            <w:shd w:val="clear" w:color="auto" w:fill="F2DBDB" w:themeFill="accent2" w:themeFillTint="33"/>
          </w:tcPr>
          <w:p w:rsidR="00B878A3" w:rsidRPr="001F08A3" w:rsidRDefault="00B878A3" w:rsidP="001F08A3">
            <w:pPr>
              <w:jc w:val="right"/>
              <w:rPr>
                <w:b/>
                <w:bCs/>
              </w:rPr>
            </w:pPr>
            <w:r w:rsidRPr="001F08A3">
              <w:rPr>
                <w:b/>
                <w:bCs/>
              </w:rPr>
              <w:t>Kurdistan International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200000</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87500</w:t>
            </w: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80000</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92500</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142000</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375000</w:t>
            </w: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630000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675000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760000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580000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504000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512000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lang w:bidi="ar-IQ"/>
              </w:rPr>
            </w:pPr>
            <w:r w:rsidRPr="00E90CDA">
              <w:rPr>
                <w:rFonts w:asciiTheme="majorBidi" w:hAnsiTheme="majorBidi" w:cstheme="majorBidi"/>
                <w:sz w:val="20"/>
                <w:szCs w:val="20"/>
                <w:rtl/>
                <w:lang w:bidi="ar-IQ"/>
              </w:rPr>
              <w:t>440000</w:t>
            </w:r>
          </w:p>
        </w:tc>
      </w:tr>
      <w:tr w:rsidR="00B878A3" w:rsidRPr="00E90CDA" w:rsidTr="0004544E">
        <w:trPr>
          <w:cantSplit/>
          <w:trHeight w:val="188"/>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3</w:t>
            </w:r>
          </w:p>
        </w:tc>
        <w:tc>
          <w:tcPr>
            <w:tcW w:w="2289" w:type="dxa"/>
            <w:shd w:val="clear" w:color="auto" w:fill="F2DBDB" w:themeFill="accent2" w:themeFillTint="33"/>
          </w:tcPr>
          <w:p w:rsidR="00B878A3" w:rsidRPr="001F08A3" w:rsidRDefault="00B878A3" w:rsidP="001F08A3">
            <w:pPr>
              <w:jc w:val="right"/>
              <w:rPr>
                <w:b/>
                <w:bCs/>
              </w:rPr>
            </w:pPr>
            <w:r w:rsidRPr="001F08A3">
              <w:rPr>
                <w:b/>
                <w:bCs/>
              </w:rPr>
              <w:t>Tigris and Euphrates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35500</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42500</w:t>
            </w: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59000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66000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28620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31360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28000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w:t>
            </w:r>
          </w:p>
        </w:tc>
      </w:tr>
      <w:tr w:rsidR="00B878A3" w:rsidRPr="00E90CDA" w:rsidTr="0004544E">
        <w:trPr>
          <w:cantSplit/>
          <w:trHeight w:val="161"/>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4</w:t>
            </w:r>
          </w:p>
        </w:tc>
        <w:tc>
          <w:tcPr>
            <w:tcW w:w="2289" w:type="dxa"/>
            <w:shd w:val="clear" w:color="auto" w:fill="F2DBDB" w:themeFill="accent2" w:themeFillTint="33"/>
          </w:tcPr>
          <w:p w:rsidR="00B878A3" w:rsidRPr="001F08A3" w:rsidRDefault="00B878A3" w:rsidP="001F08A3">
            <w:pPr>
              <w:jc w:val="right"/>
              <w:rPr>
                <w:b/>
                <w:bCs/>
              </w:rPr>
            </w:pPr>
            <w:r w:rsidRPr="001F08A3">
              <w:rPr>
                <w:b/>
                <w:bCs/>
              </w:rPr>
              <w:t>Elaf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97000</w:t>
            </w: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88000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117040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110960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72500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75000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55000</w:t>
            </w:r>
          </w:p>
        </w:tc>
      </w:tr>
      <w:tr w:rsidR="00B878A3" w:rsidRPr="00E90CDA" w:rsidTr="0004544E">
        <w:trPr>
          <w:cantSplit/>
          <w:trHeight w:val="143"/>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5</w:t>
            </w:r>
          </w:p>
        </w:tc>
        <w:tc>
          <w:tcPr>
            <w:tcW w:w="2289" w:type="dxa"/>
            <w:shd w:val="clear" w:color="auto" w:fill="F2DBDB" w:themeFill="accent2" w:themeFillTint="33"/>
          </w:tcPr>
          <w:p w:rsidR="00B878A3" w:rsidRPr="001F08A3" w:rsidRDefault="00B878A3" w:rsidP="001F08A3">
            <w:pPr>
              <w:jc w:val="right"/>
              <w:rPr>
                <w:b/>
                <w:bCs/>
              </w:rPr>
            </w:pPr>
            <w:r w:rsidRPr="001F08A3">
              <w:rPr>
                <w:b/>
                <w:bCs/>
              </w:rPr>
              <w:t>Islamic National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248490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276100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303710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225900</w:t>
            </w:r>
          </w:p>
        </w:tc>
      </w:tr>
      <w:tr w:rsidR="00B878A3" w:rsidRPr="00E90CDA" w:rsidTr="0004544E">
        <w:trPr>
          <w:cantSplit/>
          <w:trHeight w:val="134"/>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6</w:t>
            </w:r>
          </w:p>
        </w:tc>
        <w:tc>
          <w:tcPr>
            <w:tcW w:w="2289" w:type="dxa"/>
            <w:shd w:val="clear" w:color="auto" w:fill="F2DBDB" w:themeFill="accent2" w:themeFillTint="33"/>
          </w:tcPr>
          <w:p w:rsidR="00B878A3" w:rsidRPr="001F08A3" w:rsidRDefault="00B878A3" w:rsidP="001F08A3">
            <w:pPr>
              <w:jc w:val="right"/>
              <w:rPr>
                <w:b/>
                <w:bCs/>
              </w:rPr>
            </w:pPr>
            <w:r w:rsidRPr="001F08A3">
              <w:rPr>
                <w:b/>
                <w:bCs/>
              </w:rPr>
              <w:t>Arab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w:t>
            </w:r>
          </w:p>
        </w:tc>
      </w:tr>
      <w:tr w:rsidR="00B878A3" w:rsidRPr="00E90CDA" w:rsidTr="0004544E">
        <w:trPr>
          <w:cantSplit/>
          <w:trHeight w:val="134"/>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7</w:t>
            </w:r>
          </w:p>
        </w:tc>
        <w:tc>
          <w:tcPr>
            <w:tcW w:w="2289" w:type="dxa"/>
            <w:shd w:val="clear" w:color="auto" w:fill="F2DBDB" w:themeFill="accent2" w:themeFillTint="33"/>
          </w:tcPr>
          <w:p w:rsidR="00B878A3" w:rsidRPr="001F08A3" w:rsidRDefault="00B878A3" w:rsidP="001F08A3">
            <w:pPr>
              <w:jc w:val="right"/>
              <w:rPr>
                <w:b/>
                <w:bCs/>
              </w:rPr>
            </w:pPr>
            <w:r w:rsidRPr="001F08A3">
              <w:rPr>
                <w:b/>
                <w:bCs/>
              </w:rPr>
              <w:t>International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100000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8</w:t>
            </w:r>
          </w:p>
        </w:tc>
        <w:tc>
          <w:tcPr>
            <w:tcW w:w="2289" w:type="dxa"/>
            <w:shd w:val="clear" w:color="auto" w:fill="F2DBDB" w:themeFill="accent2" w:themeFillTint="33"/>
          </w:tcPr>
          <w:p w:rsidR="00B878A3" w:rsidRPr="001F08A3" w:rsidRDefault="00B878A3" w:rsidP="001F08A3">
            <w:pPr>
              <w:jc w:val="right"/>
              <w:rPr>
                <w:b/>
                <w:bCs/>
              </w:rPr>
            </w:pPr>
            <w:r w:rsidRPr="001F08A3">
              <w:rPr>
                <w:b/>
                <w:bCs/>
              </w:rPr>
              <w:t>Noor Iraq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9</w:t>
            </w:r>
          </w:p>
        </w:tc>
        <w:tc>
          <w:tcPr>
            <w:tcW w:w="2289" w:type="dxa"/>
            <w:shd w:val="clear" w:color="auto" w:fill="F2DBDB" w:themeFill="accent2" w:themeFillTint="33"/>
          </w:tcPr>
          <w:p w:rsidR="00B878A3" w:rsidRPr="001F08A3" w:rsidRDefault="00B878A3" w:rsidP="001F08A3">
            <w:pPr>
              <w:jc w:val="right"/>
              <w:rPr>
                <w:b/>
                <w:bCs/>
              </w:rPr>
            </w:pPr>
            <w:r w:rsidRPr="001F08A3">
              <w:rPr>
                <w:b/>
                <w:bCs/>
              </w:rPr>
              <w:t>Zain Iraq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92500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10</w:t>
            </w:r>
          </w:p>
        </w:tc>
        <w:tc>
          <w:tcPr>
            <w:tcW w:w="2289" w:type="dxa"/>
            <w:shd w:val="clear" w:color="auto" w:fill="F2DBDB" w:themeFill="accent2" w:themeFillTint="33"/>
          </w:tcPr>
          <w:p w:rsidR="00B878A3" w:rsidRPr="001F08A3" w:rsidRDefault="00B878A3" w:rsidP="001F08A3">
            <w:pPr>
              <w:jc w:val="right"/>
              <w:rPr>
                <w:b/>
                <w:bCs/>
              </w:rPr>
            </w:pPr>
            <w:r w:rsidRPr="001F08A3">
              <w:rPr>
                <w:b/>
                <w:bCs/>
              </w:rPr>
              <w:t>Al-Qadeed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11</w:t>
            </w:r>
          </w:p>
        </w:tc>
        <w:tc>
          <w:tcPr>
            <w:tcW w:w="2289" w:type="dxa"/>
            <w:shd w:val="clear" w:color="auto" w:fill="F2DBDB" w:themeFill="accent2" w:themeFillTint="33"/>
          </w:tcPr>
          <w:p w:rsidR="00B878A3" w:rsidRPr="001F08A3" w:rsidRDefault="00B878A3" w:rsidP="001F08A3">
            <w:pPr>
              <w:jc w:val="right"/>
              <w:rPr>
                <w:b/>
                <w:bCs/>
              </w:rPr>
            </w:pPr>
            <w:r w:rsidRPr="001F08A3">
              <w:rPr>
                <w:b/>
                <w:bCs/>
              </w:rPr>
              <w:t>Cihan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701250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675750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12</w:t>
            </w:r>
          </w:p>
        </w:tc>
        <w:tc>
          <w:tcPr>
            <w:tcW w:w="2289" w:type="dxa"/>
            <w:shd w:val="clear" w:color="auto" w:fill="F2DBDB" w:themeFill="accent2" w:themeFillTint="33"/>
          </w:tcPr>
          <w:p w:rsidR="00B878A3" w:rsidRPr="001F08A3" w:rsidRDefault="00B878A3" w:rsidP="001F08A3">
            <w:pPr>
              <w:jc w:val="right"/>
              <w:rPr>
                <w:b/>
                <w:bCs/>
              </w:rPr>
            </w:pPr>
            <w:r w:rsidRPr="001F08A3">
              <w:rPr>
                <w:b/>
                <w:bCs/>
              </w:rPr>
              <w:t>Albilad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90000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87500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13</w:t>
            </w:r>
          </w:p>
        </w:tc>
        <w:tc>
          <w:tcPr>
            <w:tcW w:w="2289" w:type="dxa"/>
            <w:shd w:val="clear" w:color="auto" w:fill="F2DBDB" w:themeFill="accent2" w:themeFillTint="33"/>
          </w:tcPr>
          <w:p w:rsidR="00B878A3" w:rsidRPr="001F08A3" w:rsidRDefault="00B878A3" w:rsidP="001F08A3">
            <w:pPr>
              <w:jc w:val="right"/>
              <w:rPr>
                <w:b/>
                <w:bCs/>
              </w:rPr>
            </w:pPr>
            <w:r w:rsidRPr="001F08A3">
              <w:rPr>
                <w:b/>
                <w:bCs/>
              </w:rPr>
              <w:t>World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250000</w:t>
            </w:r>
          </w:p>
        </w:tc>
      </w:tr>
      <w:tr w:rsidR="00B878A3" w:rsidRPr="00E90CDA" w:rsidTr="0004544E">
        <w:trPr>
          <w:cantSplit/>
          <w:trHeight w:val="62"/>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14</w:t>
            </w:r>
          </w:p>
        </w:tc>
        <w:tc>
          <w:tcPr>
            <w:tcW w:w="2289" w:type="dxa"/>
            <w:shd w:val="clear" w:color="auto" w:fill="F2DBDB" w:themeFill="accent2" w:themeFillTint="33"/>
          </w:tcPr>
          <w:p w:rsidR="00B878A3" w:rsidRPr="001F08A3" w:rsidRDefault="00B878A3" w:rsidP="001F08A3">
            <w:pPr>
              <w:jc w:val="right"/>
              <w:rPr>
                <w:b/>
                <w:bCs/>
              </w:rPr>
            </w:pPr>
            <w:r w:rsidRPr="001F08A3">
              <w:rPr>
                <w:b/>
                <w:bCs/>
              </w:rPr>
              <w:t>Islamic Trust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87500</w:t>
            </w:r>
          </w:p>
        </w:tc>
      </w:tr>
      <w:tr w:rsidR="00B878A3" w:rsidRPr="00E90CDA" w:rsidTr="0004544E">
        <w:trPr>
          <w:cantSplit/>
          <w:trHeight w:val="71"/>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r w:rsidRPr="00E90CDA">
              <w:rPr>
                <w:rFonts w:asciiTheme="majorBidi" w:hAnsiTheme="majorBidi" w:cstheme="majorBidi"/>
                <w:b/>
                <w:bCs/>
                <w:sz w:val="20"/>
                <w:szCs w:val="20"/>
                <w:rtl/>
                <w:lang w:bidi="ar-IQ"/>
              </w:rPr>
              <w:t>15</w:t>
            </w:r>
          </w:p>
        </w:tc>
        <w:tc>
          <w:tcPr>
            <w:tcW w:w="2289" w:type="dxa"/>
            <w:shd w:val="clear" w:color="auto" w:fill="F2DBDB" w:themeFill="accent2" w:themeFillTint="33"/>
          </w:tcPr>
          <w:p w:rsidR="00B878A3" w:rsidRPr="001F08A3" w:rsidRDefault="00B878A3" w:rsidP="001F08A3">
            <w:pPr>
              <w:jc w:val="right"/>
              <w:rPr>
                <w:b/>
                <w:bCs/>
              </w:rPr>
            </w:pPr>
            <w:r w:rsidRPr="001F08A3">
              <w:rPr>
                <w:b/>
                <w:bCs/>
              </w:rPr>
              <w:t>Asia Iraq Islamic Bank</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115000</w:t>
            </w:r>
          </w:p>
        </w:tc>
      </w:tr>
      <w:tr w:rsidR="00B878A3" w:rsidRPr="00E90CDA" w:rsidTr="0004544E">
        <w:trPr>
          <w:cantSplit/>
          <w:trHeight w:val="71"/>
          <w:jc w:val="center"/>
        </w:trPr>
        <w:tc>
          <w:tcPr>
            <w:tcW w:w="450" w:type="dxa"/>
            <w:vAlign w:val="center"/>
          </w:tcPr>
          <w:p w:rsidR="00B878A3" w:rsidRPr="00E90CDA" w:rsidRDefault="00B878A3" w:rsidP="00C65222">
            <w:pPr>
              <w:pStyle w:val="a3"/>
              <w:tabs>
                <w:tab w:val="left" w:pos="2968"/>
              </w:tabs>
              <w:ind w:left="0"/>
              <w:jc w:val="center"/>
              <w:rPr>
                <w:rFonts w:asciiTheme="majorBidi" w:hAnsiTheme="majorBidi" w:cstheme="majorBidi"/>
                <w:b/>
                <w:bCs/>
                <w:sz w:val="20"/>
                <w:szCs w:val="20"/>
                <w:rtl/>
                <w:lang w:bidi="ar-IQ"/>
              </w:rPr>
            </w:pPr>
          </w:p>
        </w:tc>
        <w:tc>
          <w:tcPr>
            <w:tcW w:w="2289" w:type="dxa"/>
            <w:shd w:val="clear" w:color="auto" w:fill="F2DBDB" w:themeFill="accent2" w:themeFillTint="33"/>
          </w:tcPr>
          <w:p w:rsidR="00B878A3" w:rsidRPr="001F08A3" w:rsidRDefault="00B878A3" w:rsidP="001F08A3">
            <w:pPr>
              <w:jc w:val="right"/>
              <w:rPr>
                <w:b/>
                <w:bCs/>
              </w:rPr>
            </w:pPr>
            <w:r w:rsidRPr="001F08A3">
              <w:rPr>
                <w:b/>
                <w:bCs/>
              </w:rPr>
              <w:t>Total</w:t>
            </w:r>
          </w:p>
        </w:tc>
        <w:tc>
          <w:tcPr>
            <w:tcW w:w="72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11376</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104944</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221757</w:t>
            </w:r>
          </w:p>
        </w:tc>
        <w:tc>
          <w:tcPr>
            <w:tcW w:w="90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107977</w:t>
            </w:r>
          </w:p>
        </w:tc>
        <w:tc>
          <w:tcPr>
            <w:tcW w:w="925"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100477</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146252</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223573</w:t>
            </w:r>
          </w:p>
        </w:tc>
        <w:tc>
          <w:tcPr>
            <w:tcW w:w="816"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617908</w:t>
            </w:r>
          </w:p>
        </w:tc>
        <w:tc>
          <w:tcPr>
            <w:tcW w:w="947"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904960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1111890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1174460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1084610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1233960</w:t>
            </w:r>
          </w:p>
        </w:tc>
        <w:tc>
          <w:tcPr>
            <w:tcW w:w="990"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2934960</w:t>
            </w:r>
          </w:p>
        </w:tc>
        <w:tc>
          <w:tcPr>
            <w:tcW w:w="931" w:type="dxa"/>
            <w:vAlign w:val="center"/>
          </w:tcPr>
          <w:p w:rsidR="00B878A3" w:rsidRPr="00E90CDA" w:rsidRDefault="00B878A3" w:rsidP="00C65222">
            <w:pPr>
              <w:pStyle w:val="a3"/>
              <w:tabs>
                <w:tab w:val="left" w:pos="2968"/>
              </w:tabs>
              <w:ind w:left="0"/>
              <w:jc w:val="center"/>
              <w:rPr>
                <w:rFonts w:asciiTheme="majorBidi" w:hAnsiTheme="majorBidi" w:cstheme="majorBidi"/>
                <w:sz w:val="20"/>
                <w:szCs w:val="20"/>
                <w:rtl/>
                <w:lang w:bidi="ar-IQ"/>
              </w:rPr>
            </w:pPr>
            <w:r w:rsidRPr="00E90CDA">
              <w:rPr>
                <w:rFonts w:asciiTheme="majorBidi" w:hAnsiTheme="majorBidi" w:cstheme="majorBidi"/>
                <w:sz w:val="20"/>
                <w:szCs w:val="20"/>
                <w:rtl/>
                <w:lang w:bidi="ar-IQ"/>
              </w:rPr>
              <w:t>2629150</w:t>
            </w:r>
          </w:p>
        </w:tc>
      </w:tr>
    </w:tbl>
    <w:p w:rsidR="004526B3" w:rsidRDefault="004526B3" w:rsidP="004526B3">
      <w:pPr>
        <w:bidi w:val="0"/>
        <w:jc w:val="center"/>
        <w:rPr>
          <w:rFonts w:asciiTheme="majorBidi" w:hAnsiTheme="majorBidi" w:cstheme="majorBidi"/>
          <w:b/>
          <w:bCs/>
          <w:sz w:val="24"/>
          <w:szCs w:val="24"/>
          <w:rtl/>
          <w:lang w:bidi="ar-IQ"/>
        </w:rPr>
      </w:pPr>
    </w:p>
    <w:p w:rsidR="001F08A3" w:rsidRDefault="001F08A3" w:rsidP="001F08A3">
      <w:pPr>
        <w:bidi w:val="0"/>
        <w:rPr>
          <w:rFonts w:asciiTheme="majorBidi" w:hAnsiTheme="majorBidi" w:cstheme="majorBidi"/>
          <w:b/>
          <w:bCs/>
          <w:sz w:val="24"/>
          <w:szCs w:val="24"/>
          <w:lang w:bidi="ar-IQ"/>
        </w:rPr>
      </w:pPr>
      <w:r w:rsidRPr="001F08A3">
        <w:rPr>
          <w:rFonts w:asciiTheme="majorBidi" w:hAnsiTheme="majorBidi" w:cstheme="majorBidi"/>
          <w:b/>
          <w:bCs/>
          <w:sz w:val="24"/>
          <w:szCs w:val="24"/>
          <w:lang w:bidi="ar-IQ"/>
        </w:rPr>
        <w:t>Source: the annual bulletins of the Iraq Stock Exchange for the period (2004-2018)</w:t>
      </w:r>
    </w:p>
    <w:p w:rsidR="001F08A3" w:rsidRDefault="001F08A3" w:rsidP="001F08A3">
      <w:pPr>
        <w:bidi w:val="0"/>
        <w:jc w:val="mediumKashida"/>
        <w:rPr>
          <w:rFonts w:asciiTheme="majorBidi" w:hAnsiTheme="majorBidi" w:cstheme="majorBidi"/>
          <w:sz w:val="24"/>
          <w:szCs w:val="24"/>
          <w:lang w:bidi="ar-IQ"/>
        </w:rPr>
        <w:sectPr w:rsidR="001F08A3" w:rsidSect="004526B3">
          <w:pgSz w:w="16838" w:h="11906" w:orient="landscape"/>
          <w:pgMar w:top="1440" w:right="1440" w:bottom="1440" w:left="1440" w:header="720" w:footer="720" w:gutter="0"/>
          <w:cols w:space="720"/>
          <w:docGrid w:linePitch="360"/>
        </w:sectPr>
      </w:pPr>
    </w:p>
    <w:p w:rsidR="00E35B33" w:rsidRPr="00061F19" w:rsidRDefault="00E35B33" w:rsidP="00E35B33">
      <w:pPr>
        <w:spacing w:after="0" w:line="240" w:lineRule="auto"/>
        <w:jc w:val="center"/>
        <w:rPr>
          <w:rFonts w:ascii="Times New Roman" w:hAnsi="Times New Roman" w:cs="Times New Roman"/>
          <w:sz w:val="28"/>
          <w:szCs w:val="28"/>
          <w:rtl/>
          <w:lang w:bidi="ar-IQ"/>
        </w:rPr>
      </w:pPr>
      <w:r w:rsidRPr="00061F19">
        <w:rPr>
          <w:rFonts w:asciiTheme="majorBidi" w:hAnsiTheme="majorBidi" w:cstheme="majorBidi"/>
          <w:sz w:val="24"/>
          <w:szCs w:val="24"/>
          <w:lang w:bidi="ar-IQ"/>
        </w:rPr>
        <w:lastRenderedPageBreak/>
        <w:t>Figure (1) shows the market value index of Iraqi Islamic banks for the period (2004-2018)</w:t>
      </w:r>
    </w:p>
    <w:p w:rsidR="00E35B33" w:rsidRPr="00885F97" w:rsidRDefault="00E35B33" w:rsidP="00E35B33">
      <w:pPr>
        <w:spacing w:after="0" w:line="240" w:lineRule="auto"/>
        <w:jc w:val="mediumKashida"/>
        <w:rPr>
          <w:rFonts w:ascii="Times New Roman" w:hAnsi="Times New Roman" w:cs="Times New Roman" w:hint="cs"/>
          <w:sz w:val="28"/>
          <w:szCs w:val="28"/>
          <w:rtl/>
          <w:lang w:bidi="ar-IQ"/>
        </w:rPr>
      </w:pPr>
      <w:r>
        <w:rPr>
          <w:rFonts w:ascii="Times New Roman" w:hAnsi="Times New Roman" w:cs="Times New Roman"/>
          <w:noProof/>
          <w:sz w:val="28"/>
          <w:szCs w:val="28"/>
          <w:rtl/>
        </w:rPr>
        <w:drawing>
          <wp:anchor distT="0" distB="0" distL="114300" distR="114300" simplePos="0" relativeHeight="251661312" behindDoc="0" locked="0" layoutInCell="1" allowOverlap="1">
            <wp:simplePos x="0" y="0"/>
            <wp:positionH relativeFrom="column">
              <wp:posOffset>199672</wp:posOffset>
            </wp:positionH>
            <wp:positionV relativeFrom="paragraph">
              <wp:posOffset>168981</wp:posOffset>
            </wp:positionV>
            <wp:extent cx="5422054" cy="1907822"/>
            <wp:effectExtent l="19050" t="0" r="26246" b="0"/>
            <wp:wrapNone/>
            <wp:docPr id="3" name="مخطط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885F97">
        <w:rPr>
          <w:rFonts w:ascii="Times New Roman" w:hAnsi="Times New Roman" w:cs="Times New Roman"/>
          <w:sz w:val="28"/>
          <w:szCs w:val="28"/>
          <w:rtl/>
          <w:lang w:bidi="ar-IQ"/>
        </w:rPr>
        <w:tab/>
      </w: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885F97" w:rsidRDefault="00E35B33" w:rsidP="00E35B33">
      <w:pPr>
        <w:spacing w:after="0" w:line="360" w:lineRule="auto"/>
        <w:jc w:val="mediumKashida"/>
        <w:rPr>
          <w:rFonts w:ascii="Times New Roman" w:hAnsi="Times New Roman" w:cs="Times New Roman"/>
          <w:sz w:val="28"/>
          <w:szCs w:val="28"/>
          <w:rtl/>
          <w:lang w:bidi="ar-IQ"/>
        </w:rPr>
      </w:pPr>
    </w:p>
    <w:p w:rsidR="00E35B33" w:rsidRPr="00B1072E" w:rsidRDefault="00E35B33" w:rsidP="00E35B33">
      <w:pPr>
        <w:spacing w:after="0" w:line="360" w:lineRule="auto"/>
        <w:ind w:left="-694" w:firstLine="90"/>
        <w:rPr>
          <w:rFonts w:ascii="Times New Roman" w:hAnsi="Times New Roman" w:cs="Times New Roman" w:hint="cs"/>
          <w:b/>
          <w:bCs/>
          <w:sz w:val="14"/>
          <w:szCs w:val="14"/>
          <w:rtl/>
          <w:lang w:bidi="ar-IQ"/>
        </w:rPr>
      </w:pPr>
    </w:p>
    <w:p w:rsidR="00E35B33" w:rsidRPr="00B1072E" w:rsidRDefault="00E35B33" w:rsidP="00061F19">
      <w:pPr>
        <w:spacing w:after="0"/>
        <w:jc w:val="right"/>
        <w:rPr>
          <w:rFonts w:ascii="Times New Roman" w:hAnsi="Times New Roman" w:cs="Times New Roman"/>
          <w:b/>
          <w:bCs/>
          <w:sz w:val="24"/>
          <w:szCs w:val="24"/>
          <w:rtl/>
          <w:lang w:bidi="ar-IQ"/>
        </w:rPr>
      </w:pPr>
      <w:r w:rsidRPr="00B1072E">
        <w:rPr>
          <w:rFonts w:ascii="Times New Roman" w:hAnsi="Times New Roman" w:cs="Times New Roman"/>
          <w:b/>
          <w:bCs/>
          <w:sz w:val="24"/>
          <w:szCs w:val="24"/>
          <w:lang w:bidi="ar-IQ"/>
        </w:rPr>
        <w:t>Source / from the researcher’s work based on the data in Table (</w:t>
      </w:r>
      <w:r>
        <w:rPr>
          <w:rFonts w:ascii="Times New Roman" w:hAnsi="Times New Roman" w:cs="Times New Roman"/>
          <w:b/>
          <w:bCs/>
          <w:sz w:val="24"/>
          <w:szCs w:val="24"/>
          <w:lang w:bidi="ar-IQ"/>
        </w:rPr>
        <w:t>1)</w:t>
      </w:r>
    </w:p>
    <w:p w:rsidR="00E35B33" w:rsidRPr="00B1072E" w:rsidRDefault="00E35B33" w:rsidP="00E35B33">
      <w:pPr>
        <w:spacing w:after="0"/>
        <w:jc w:val="mediumKashida"/>
        <w:rPr>
          <w:rFonts w:ascii="Times New Roman" w:hAnsi="Times New Roman" w:cs="Times New Roman" w:hint="cs"/>
          <w:b/>
          <w:bCs/>
          <w:sz w:val="24"/>
          <w:szCs w:val="24"/>
          <w:rtl/>
          <w:lang w:bidi="ar-IQ"/>
        </w:rPr>
      </w:pPr>
      <w:r w:rsidRPr="00B1072E">
        <w:rPr>
          <w:rFonts w:ascii="Times New Roman" w:hAnsi="Times New Roman" w:cs="Times New Roman"/>
          <w:b/>
          <w:bCs/>
          <w:sz w:val="24"/>
          <w:szCs w:val="24"/>
          <w:rtl/>
          <w:lang w:bidi="ar-IQ"/>
        </w:rPr>
        <w:t xml:space="preserve">                                                         </w:t>
      </w:r>
      <w:r w:rsidRPr="00B1072E">
        <w:rPr>
          <w:rFonts w:ascii="Times New Roman" w:hAnsi="Times New Roman" w:cs="Times New Roman"/>
          <w:b/>
          <w:bCs/>
          <w:sz w:val="24"/>
          <w:szCs w:val="24"/>
          <w:lang w:bidi="ar-IQ"/>
        </w:rPr>
        <w:t>shape (</w:t>
      </w:r>
      <w:r>
        <w:rPr>
          <w:rFonts w:ascii="Times New Roman" w:hAnsi="Times New Roman" w:cs="Times New Roman"/>
          <w:b/>
          <w:bCs/>
          <w:sz w:val="24"/>
          <w:szCs w:val="24"/>
          <w:lang w:bidi="ar-IQ"/>
        </w:rPr>
        <w:t>1)</w:t>
      </w:r>
    </w:p>
    <w:p w:rsidR="00E35B33" w:rsidRPr="00B1072E" w:rsidRDefault="00E35B33" w:rsidP="00E35B33">
      <w:pPr>
        <w:spacing w:after="0"/>
        <w:jc w:val="right"/>
        <w:rPr>
          <w:rFonts w:ascii="Times New Roman" w:hAnsi="Times New Roman" w:cs="Times New Roman"/>
          <w:sz w:val="16"/>
          <w:szCs w:val="16"/>
          <w:lang w:bidi="ar-IQ"/>
        </w:rPr>
      </w:pPr>
      <w:r w:rsidRPr="00B1072E">
        <w:rPr>
          <w:rFonts w:ascii="Times New Roman" w:hAnsi="Times New Roman" w:cs="Times New Roman"/>
          <w:b/>
          <w:bCs/>
          <w:sz w:val="24"/>
          <w:szCs w:val="24"/>
          <w:lang w:bidi="ar-IQ"/>
        </w:rPr>
        <w:t>Index of the market value of the Ir</w:t>
      </w:r>
      <w:r>
        <w:rPr>
          <w:rFonts w:ascii="Times New Roman" w:hAnsi="Times New Roman" w:cs="Times New Roman"/>
          <w:b/>
          <w:bCs/>
          <w:sz w:val="24"/>
          <w:szCs w:val="24"/>
          <w:lang w:bidi="ar-IQ"/>
        </w:rPr>
        <w:t>aqi Islamic banks for the period</w:t>
      </w:r>
      <w:r w:rsidRPr="00B1072E">
        <w:rPr>
          <w:rFonts w:ascii="Times New Roman" w:hAnsi="Times New Roman" w:cs="Times New Roman"/>
          <w:b/>
          <w:bCs/>
          <w:sz w:val="24"/>
          <w:szCs w:val="24"/>
          <w:lang w:bidi="ar-IQ"/>
        </w:rPr>
        <w:t xml:space="preserve"> (2004- 20</w:t>
      </w:r>
      <w:r>
        <w:rPr>
          <w:rFonts w:ascii="Times New Roman" w:hAnsi="Times New Roman" w:cs="Times New Roman"/>
          <w:b/>
          <w:bCs/>
          <w:sz w:val="24"/>
          <w:szCs w:val="24"/>
          <w:lang w:bidi="ar-IQ"/>
        </w:rPr>
        <w:t>18 )</w:t>
      </w:r>
    </w:p>
    <w:p w:rsidR="00E35B33" w:rsidRPr="00DA6317" w:rsidRDefault="00E35B33" w:rsidP="00E35B33">
      <w:pPr>
        <w:bidi w:val="0"/>
        <w:jc w:val="mediumKashida"/>
        <w:rPr>
          <w:rFonts w:asciiTheme="majorBidi" w:hAnsiTheme="majorBidi" w:cstheme="majorBidi"/>
          <w:b/>
          <w:bCs/>
          <w:color w:val="365F91" w:themeColor="accent1" w:themeShade="BF"/>
          <w:sz w:val="8"/>
          <w:szCs w:val="8"/>
          <w:lang w:bidi="ar-IQ"/>
        </w:rPr>
      </w:pPr>
    </w:p>
    <w:p w:rsidR="001F08A3" w:rsidRPr="00CB56AE" w:rsidRDefault="001F08A3" w:rsidP="00E35B33">
      <w:pPr>
        <w:bidi w:val="0"/>
        <w:jc w:val="mediumKashida"/>
        <w:rPr>
          <w:rFonts w:asciiTheme="majorBidi" w:hAnsiTheme="majorBidi" w:cstheme="majorBidi"/>
          <w:b/>
          <w:bCs/>
          <w:color w:val="0070C0"/>
          <w:sz w:val="24"/>
          <w:szCs w:val="24"/>
          <w:lang w:bidi="ar-IQ"/>
        </w:rPr>
      </w:pPr>
      <w:r w:rsidRPr="00CB56AE">
        <w:rPr>
          <w:rFonts w:asciiTheme="majorBidi" w:hAnsiTheme="majorBidi" w:cstheme="majorBidi"/>
          <w:b/>
          <w:bCs/>
          <w:color w:val="0070C0"/>
          <w:sz w:val="24"/>
          <w:szCs w:val="24"/>
          <w:lang w:bidi="ar-IQ"/>
        </w:rPr>
        <w:t>2) Analysis of the trading volume index of Iraqi Islamic banks for the period (2004 - 2008)</w:t>
      </w:r>
    </w:p>
    <w:p w:rsidR="001F08A3" w:rsidRDefault="001F08A3" w:rsidP="00BC477A">
      <w:pPr>
        <w:bidi w:val="0"/>
        <w:jc w:val="mediumKashida"/>
        <w:rPr>
          <w:rFonts w:asciiTheme="majorBidi" w:hAnsiTheme="majorBidi" w:cstheme="majorBidi"/>
          <w:sz w:val="24"/>
          <w:szCs w:val="24"/>
          <w:lang w:bidi="ar-IQ"/>
        </w:rPr>
      </w:pPr>
      <w:r w:rsidRPr="001F08A3">
        <w:rPr>
          <w:rFonts w:asciiTheme="majorBidi" w:hAnsiTheme="majorBidi" w:cstheme="majorBidi"/>
          <w:sz w:val="24"/>
          <w:szCs w:val="24"/>
          <w:lang w:bidi="ar-IQ"/>
        </w:rPr>
        <w:t xml:space="preserve"> </w:t>
      </w:r>
      <w:r w:rsidR="00BC477A">
        <w:rPr>
          <w:rFonts w:asciiTheme="majorBidi" w:hAnsiTheme="majorBidi" w:cstheme="majorBidi"/>
          <w:sz w:val="24"/>
          <w:szCs w:val="24"/>
          <w:lang w:bidi="ar-IQ"/>
        </w:rPr>
        <w:t xml:space="preserve">     </w:t>
      </w:r>
      <w:r w:rsidRPr="001F08A3">
        <w:rPr>
          <w:rFonts w:asciiTheme="majorBidi" w:hAnsiTheme="majorBidi" w:cstheme="majorBidi"/>
          <w:sz w:val="24"/>
          <w:szCs w:val="24"/>
          <w:lang w:bidi="ar-IQ"/>
        </w:rPr>
        <w:t xml:space="preserve"> Through table (2) it becomes clear to us the trading volume index for the Iraqi Islamic banks for the period (2004-2018) for the studied banks that were traded for the study period in the Iraqi Stock Exchange.</w:t>
      </w:r>
    </w:p>
    <w:p w:rsidR="001F08A3" w:rsidRDefault="003C1E2E" w:rsidP="00DA6317">
      <w:pPr>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3C1E2E">
        <w:rPr>
          <w:rFonts w:asciiTheme="majorBidi" w:hAnsiTheme="majorBidi" w:cstheme="majorBidi"/>
          <w:sz w:val="24"/>
          <w:szCs w:val="24"/>
          <w:lang w:bidi="ar-IQ"/>
        </w:rPr>
        <w:t>The trading volume index is one of the indicators for measuring the trading volume of Islamic banks in the Iraqi Stock Exchange. The clear fluctuation in the trading volume values ​​is noted during the study period. In 2004, the total trading volume index amounted to (1174) million dinars only due to the economic conditions and the unstable security and political situation. In 2005, the volume increased, as the total volume amounted to (15,549) million dinars in 2005, then the trading volume decreased for the year 2006, as the total trading volume reached (11245) million dinars, and the total volume reached (13347) million dinars for the year 2007, and decreased again, as the total The volume was (11736) million dinars for the year 2008, and it decreased further, as the total trading volume reached (5815) million dinars for the year 2009 due to the bad security and political conditions. In 2011, the trading volume increased more, as the total volume reached (49501) million dinars, and in 2012 the total volume reached (66024) million dinars, and in 2013 it continued to increase, as the total trading volume of Iraqi Islamic banks reached (201624) million. Dr In 2014, the total volume amounted to (216,252) million dinars, and in 2015 the total trading volume decreased, reaching (61115) million dinars due to the bad security and political conditions. The decline continued in 2016 as the total trading volume reached (41758) million dinars. In 2017, the total trading volume increased further, reaching (36,8249) million dinars due to the improvement in the security, economic and investment situation, and in 2018, the total volume reached (246996) million dinars.</w:t>
      </w:r>
    </w:p>
    <w:p w:rsidR="001F08A3" w:rsidRDefault="001F08A3" w:rsidP="001F08A3">
      <w:pPr>
        <w:bidi w:val="0"/>
        <w:jc w:val="mediumKashida"/>
        <w:rPr>
          <w:rFonts w:asciiTheme="majorBidi" w:hAnsiTheme="majorBidi" w:cstheme="majorBidi"/>
          <w:sz w:val="24"/>
          <w:szCs w:val="24"/>
          <w:lang w:bidi="ar-IQ"/>
        </w:rPr>
      </w:pPr>
    </w:p>
    <w:p w:rsidR="001F08A3" w:rsidRDefault="001F08A3" w:rsidP="001F08A3">
      <w:pPr>
        <w:bidi w:val="0"/>
        <w:jc w:val="mediumKashida"/>
        <w:rPr>
          <w:rFonts w:asciiTheme="majorBidi" w:hAnsiTheme="majorBidi" w:cstheme="majorBidi"/>
          <w:sz w:val="24"/>
          <w:szCs w:val="24"/>
          <w:lang w:bidi="ar-IQ"/>
        </w:rPr>
        <w:sectPr w:rsidR="001F08A3" w:rsidSect="001F08A3">
          <w:pgSz w:w="11906" w:h="16838"/>
          <w:pgMar w:top="1440" w:right="1440" w:bottom="1440" w:left="1440" w:header="720" w:footer="720" w:gutter="0"/>
          <w:cols w:space="720"/>
          <w:docGrid w:linePitch="360"/>
        </w:sectPr>
      </w:pPr>
    </w:p>
    <w:p w:rsidR="001F08A3" w:rsidRPr="00335B35" w:rsidRDefault="001F08A3" w:rsidP="001F08A3">
      <w:pPr>
        <w:bidi w:val="0"/>
        <w:jc w:val="center"/>
        <w:rPr>
          <w:rFonts w:asciiTheme="majorBidi" w:hAnsiTheme="majorBidi" w:cstheme="majorBidi"/>
          <w:b/>
          <w:bCs/>
          <w:sz w:val="24"/>
          <w:szCs w:val="24"/>
          <w:lang w:bidi="ar-IQ"/>
        </w:rPr>
      </w:pPr>
      <w:r w:rsidRPr="00335B35">
        <w:rPr>
          <w:rFonts w:asciiTheme="majorBidi" w:hAnsiTheme="majorBidi" w:cstheme="majorBidi"/>
          <w:b/>
          <w:bCs/>
          <w:sz w:val="24"/>
          <w:szCs w:val="24"/>
          <w:lang w:bidi="ar-IQ"/>
        </w:rPr>
        <w:lastRenderedPageBreak/>
        <w:t>Table ( 2 )</w:t>
      </w:r>
    </w:p>
    <w:p w:rsidR="001F08A3" w:rsidRPr="00335B35" w:rsidRDefault="001F08A3" w:rsidP="001F08A3">
      <w:pPr>
        <w:bidi w:val="0"/>
        <w:jc w:val="center"/>
        <w:rPr>
          <w:rFonts w:asciiTheme="majorBidi" w:hAnsiTheme="majorBidi" w:cstheme="majorBidi"/>
          <w:b/>
          <w:bCs/>
          <w:sz w:val="24"/>
          <w:szCs w:val="24"/>
          <w:lang w:bidi="ar-IQ"/>
        </w:rPr>
      </w:pPr>
      <w:r w:rsidRPr="00335B35">
        <w:rPr>
          <w:rFonts w:asciiTheme="majorBidi" w:hAnsiTheme="majorBidi" w:cstheme="majorBidi"/>
          <w:b/>
          <w:bCs/>
          <w:sz w:val="24"/>
          <w:szCs w:val="24"/>
          <w:lang w:bidi="ar-IQ"/>
        </w:rPr>
        <w:t>Index of trading volume of Iraqi Islamic banks in the stock market for the period (2004-2018) unit of account (million dinars)</w:t>
      </w:r>
    </w:p>
    <w:tbl>
      <w:tblPr>
        <w:tblStyle w:val="a4"/>
        <w:tblW w:w="16227" w:type="dxa"/>
        <w:jc w:val="center"/>
        <w:tblInd w:w="110" w:type="dxa"/>
        <w:tblLayout w:type="fixed"/>
        <w:tblLook w:val="04A0"/>
      </w:tblPr>
      <w:tblGrid>
        <w:gridCol w:w="450"/>
        <w:gridCol w:w="2195"/>
        <w:gridCol w:w="630"/>
        <w:gridCol w:w="810"/>
        <w:gridCol w:w="810"/>
        <w:gridCol w:w="810"/>
        <w:gridCol w:w="857"/>
        <w:gridCol w:w="720"/>
        <w:gridCol w:w="810"/>
        <w:gridCol w:w="810"/>
        <w:gridCol w:w="810"/>
        <w:gridCol w:w="900"/>
        <w:gridCol w:w="900"/>
        <w:gridCol w:w="943"/>
        <w:gridCol w:w="1170"/>
        <w:gridCol w:w="1440"/>
        <w:gridCol w:w="1162"/>
      </w:tblGrid>
      <w:tr w:rsidR="00335B35" w:rsidRPr="001D778B" w:rsidTr="0004544E">
        <w:trPr>
          <w:trHeight w:val="272"/>
          <w:jc w:val="center"/>
        </w:trPr>
        <w:tc>
          <w:tcPr>
            <w:tcW w:w="450" w:type="dxa"/>
            <w:vMerge w:val="restart"/>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lang w:bidi="ar-IQ"/>
              </w:rPr>
            </w:pPr>
            <w:r>
              <w:rPr>
                <w:rFonts w:asciiTheme="majorBidi" w:hAnsiTheme="majorBidi" w:cstheme="majorBidi"/>
                <w:b/>
                <w:bCs/>
                <w:sz w:val="20"/>
                <w:szCs w:val="20"/>
                <w:lang w:bidi="ar-IQ"/>
              </w:rPr>
              <w:t>T</w:t>
            </w:r>
          </w:p>
        </w:tc>
        <w:tc>
          <w:tcPr>
            <w:tcW w:w="2195" w:type="dxa"/>
            <w:vMerge w:val="restart"/>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Bank name</w:t>
            </w:r>
          </w:p>
          <w:p w:rsidR="00335B35" w:rsidRPr="00335B35" w:rsidRDefault="00335B35" w:rsidP="0004544E">
            <w:pPr>
              <w:jc w:val="right"/>
              <w:rPr>
                <w:rFonts w:asciiTheme="majorBidi" w:hAnsiTheme="majorBidi" w:cstheme="majorBidi"/>
              </w:rPr>
            </w:pPr>
          </w:p>
        </w:tc>
        <w:tc>
          <w:tcPr>
            <w:tcW w:w="13582" w:type="dxa"/>
            <w:gridSpan w:val="15"/>
            <w:tcBorders>
              <w:bottom w:val="single" w:sz="4" w:space="0" w:color="auto"/>
            </w:tcBorders>
            <w:shd w:val="clear" w:color="auto" w:fill="F2DBDB" w:themeFill="accent2" w:themeFillTint="33"/>
            <w:vAlign w:val="center"/>
          </w:tcPr>
          <w:p w:rsidR="00335B35" w:rsidRPr="00142D57" w:rsidRDefault="00335B35" w:rsidP="0004544E">
            <w:pPr>
              <w:pStyle w:val="a3"/>
              <w:tabs>
                <w:tab w:val="left" w:pos="2968"/>
              </w:tabs>
              <w:ind w:left="0"/>
              <w:jc w:val="center"/>
              <w:rPr>
                <w:rFonts w:asciiTheme="majorBidi" w:hAnsiTheme="majorBidi" w:cstheme="majorBidi"/>
                <w:b/>
                <w:bCs/>
                <w:rtl/>
                <w:lang w:bidi="ar-IQ"/>
              </w:rPr>
            </w:pPr>
            <w:r w:rsidRPr="00335B35">
              <w:rPr>
                <w:rFonts w:asciiTheme="majorBidi" w:hAnsiTheme="majorBidi" w:cstheme="majorBidi"/>
                <w:b/>
                <w:bCs/>
                <w:lang w:bidi="ar-IQ"/>
              </w:rPr>
              <w:t>Years in millions of dinars</w:t>
            </w:r>
          </w:p>
        </w:tc>
      </w:tr>
      <w:tr w:rsidR="00335B35" w:rsidRPr="001D778B" w:rsidTr="0004544E">
        <w:trPr>
          <w:trHeight w:val="208"/>
          <w:jc w:val="center"/>
        </w:trPr>
        <w:tc>
          <w:tcPr>
            <w:tcW w:w="450" w:type="dxa"/>
            <w:vMerge/>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p>
        </w:tc>
        <w:tc>
          <w:tcPr>
            <w:tcW w:w="2195" w:type="dxa"/>
            <w:vMerge/>
            <w:shd w:val="clear" w:color="auto" w:fill="F2DBDB" w:themeFill="accent2" w:themeFillTint="33"/>
            <w:vAlign w:val="center"/>
          </w:tcPr>
          <w:p w:rsidR="00335B35" w:rsidRPr="00335B35" w:rsidRDefault="00335B35" w:rsidP="0004544E">
            <w:pPr>
              <w:pStyle w:val="a3"/>
              <w:tabs>
                <w:tab w:val="left" w:pos="2968"/>
              </w:tabs>
              <w:ind w:left="0"/>
              <w:jc w:val="right"/>
              <w:rPr>
                <w:rFonts w:asciiTheme="majorBidi" w:hAnsiTheme="majorBidi" w:cstheme="majorBidi"/>
                <w:b/>
                <w:bCs/>
                <w:sz w:val="20"/>
                <w:szCs w:val="20"/>
                <w:rtl/>
                <w:lang w:bidi="ar-IQ"/>
              </w:rPr>
            </w:pPr>
          </w:p>
        </w:tc>
        <w:tc>
          <w:tcPr>
            <w:tcW w:w="63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2004</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2005</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2006</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2007</w:t>
            </w:r>
          </w:p>
        </w:tc>
        <w:tc>
          <w:tcPr>
            <w:tcW w:w="857"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2008</w:t>
            </w:r>
          </w:p>
        </w:tc>
        <w:tc>
          <w:tcPr>
            <w:tcW w:w="72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2009</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2010</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2011</w:t>
            </w:r>
          </w:p>
        </w:tc>
        <w:tc>
          <w:tcPr>
            <w:tcW w:w="81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hint="cs"/>
                <w:b/>
                <w:bCs/>
                <w:sz w:val="20"/>
                <w:szCs w:val="20"/>
                <w:rtl/>
                <w:lang w:bidi="ar-IQ"/>
              </w:rPr>
            </w:pPr>
            <w:r w:rsidRPr="001D778B">
              <w:rPr>
                <w:rFonts w:asciiTheme="majorBidi" w:hAnsiTheme="majorBidi" w:cstheme="majorBidi" w:hint="cs"/>
                <w:b/>
                <w:bCs/>
                <w:sz w:val="20"/>
                <w:szCs w:val="20"/>
                <w:rtl/>
                <w:lang w:bidi="ar-IQ"/>
              </w:rPr>
              <w:t>2012</w:t>
            </w:r>
          </w:p>
        </w:tc>
        <w:tc>
          <w:tcPr>
            <w:tcW w:w="90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2013</w:t>
            </w:r>
          </w:p>
        </w:tc>
        <w:tc>
          <w:tcPr>
            <w:tcW w:w="90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2014</w:t>
            </w:r>
          </w:p>
        </w:tc>
        <w:tc>
          <w:tcPr>
            <w:tcW w:w="943"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2015</w:t>
            </w:r>
          </w:p>
        </w:tc>
        <w:tc>
          <w:tcPr>
            <w:tcW w:w="117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2016</w:t>
            </w:r>
          </w:p>
        </w:tc>
        <w:tc>
          <w:tcPr>
            <w:tcW w:w="1440"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2017</w:t>
            </w:r>
          </w:p>
        </w:tc>
        <w:tc>
          <w:tcPr>
            <w:tcW w:w="1162" w:type="dxa"/>
            <w:tcBorders>
              <w:top w:val="single" w:sz="4" w:space="0" w:color="auto"/>
            </w:tcBorders>
            <w:shd w:val="clear" w:color="auto" w:fill="F2DBDB" w:themeFill="accent2" w:themeFillTint="33"/>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2018</w:t>
            </w:r>
          </w:p>
        </w:tc>
      </w:tr>
      <w:tr w:rsidR="00335B35" w:rsidRPr="001D778B" w:rsidTr="0004544E">
        <w:trPr>
          <w:cantSplit/>
          <w:trHeight w:val="188"/>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Iraqi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1174</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1554</w:t>
            </w:r>
            <w:r>
              <w:rPr>
                <w:rFonts w:asciiTheme="majorBidi" w:hAnsiTheme="majorBidi" w:cstheme="majorBidi" w:hint="cs"/>
                <w:sz w:val="20"/>
                <w:szCs w:val="20"/>
                <w:rtl/>
                <w:lang w:bidi="ar-IQ"/>
              </w:rPr>
              <w:t>9</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11244</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3890</w:t>
            </w: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6773</w:t>
            </w: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517</w:t>
            </w:r>
            <w:r>
              <w:rPr>
                <w:rFonts w:asciiTheme="majorBidi" w:hAnsiTheme="majorBidi" w:cstheme="majorBidi" w:hint="cs"/>
                <w:sz w:val="20"/>
                <w:szCs w:val="20"/>
                <w:rtl/>
                <w:lang w:bidi="ar-IQ"/>
              </w:rPr>
              <w:t>7</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4159</w:t>
            </w:r>
            <w:r>
              <w:rPr>
                <w:rFonts w:asciiTheme="majorBidi" w:hAnsiTheme="majorBidi" w:cstheme="majorBidi" w:hint="cs"/>
                <w:sz w:val="20"/>
                <w:szCs w:val="20"/>
                <w:rtl/>
                <w:lang w:bidi="ar-IQ"/>
              </w:rPr>
              <w:t>3</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40475</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29094</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18924</w:t>
            </w:r>
            <w:r>
              <w:rPr>
                <w:rFonts w:asciiTheme="majorBidi" w:hAnsiTheme="majorBidi" w:cstheme="majorBidi" w:hint="cs"/>
                <w:sz w:val="20"/>
                <w:szCs w:val="20"/>
                <w:rtl/>
                <w:lang w:bidi="ar-IQ"/>
              </w:rPr>
              <w:t>6</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75301</w:t>
            </w: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38151</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643</w:t>
            </w:r>
            <w:r>
              <w:rPr>
                <w:rFonts w:asciiTheme="majorBidi" w:hAnsiTheme="majorBidi" w:cstheme="majorBidi" w:hint="cs"/>
                <w:sz w:val="20"/>
                <w:szCs w:val="20"/>
                <w:rtl/>
                <w:lang w:bidi="ar-IQ"/>
              </w:rPr>
              <w:t>5</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3026</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2286</w:t>
            </w:r>
            <w:r>
              <w:rPr>
                <w:rFonts w:asciiTheme="majorBidi" w:hAnsiTheme="majorBidi" w:cstheme="majorBidi" w:hint="cs"/>
                <w:sz w:val="20"/>
                <w:szCs w:val="20"/>
                <w:rtl/>
                <w:lang w:bidi="ar-IQ"/>
              </w:rPr>
              <w:t>5</w:t>
            </w:r>
          </w:p>
        </w:tc>
      </w:tr>
      <w:tr w:rsidR="00335B35" w:rsidRPr="001D778B" w:rsidTr="0004544E">
        <w:trPr>
          <w:cantSplit/>
          <w:trHeight w:val="188"/>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2</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Kurdistan International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9457</w:t>
            </w: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496</w:t>
            </w:r>
            <w:r>
              <w:rPr>
                <w:rFonts w:asciiTheme="majorBidi" w:hAnsiTheme="majorBidi" w:cstheme="majorBidi" w:hint="cs"/>
                <w:sz w:val="20"/>
                <w:szCs w:val="20"/>
                <w:rtl/>
                <w:lang w:bidi="ar-IQ"/>
              </w:rPr>
              <w:t>3</w:t>
            </w: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638</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1248</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7107</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34316</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1138</w:t>
            </w:r>
            <w:r>
              <w:rPr>
                <w:rFonts w:asciiTheme="majorBidi" w:hAnsiTheme="majorBidi" w:cstheme="majorBidi" w:hint="cs"/>
                <w:sz w:val="20"/>
                <w:szCs w:val="20"/>
                <w:rtl/>
                <w:lang w:bidi="ar-IQ"/>
              </w:rPr>
              <w:t>9</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953</w:t>
            </w:r>
            <w:r>
              <w:rPr>
                <w:rFonts w:asciiTheme="majorBidi" w:hAnsiTheme="majorBidi" w:cstheme="majorBidi" w:hint="cs"/>
                <w:sz w:val="20"/>
                <w:szCs w:val="20"/>
                <w:rtl/>
                <w:lang w:bidi="ar-IQ"/>
              </w:rPr>
              <w:t>90</w:t>
            </w: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328</w:t>
            </w:r>
            <w:r>
              <w:rPr>
                <w:rFonts w:asciiTheme="majorBidi" w:hAnsiTheme="majorBidi" w:cstheme="majorBidi" w:hint="cs"/>
                <w:sz w:val="20"/>
                <w:szCs w:val="20"/>
                <w:rtl/>
                <w:lang w:bidi="ar-IQ"/>
              </w:rPr>
              <w:t>9</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775</w:t>
            </w:r>
            <w:r>
              <w:rPr>
                <w:rFonts w:asciiTheme="majorBidi" w:hAnsiTheme="majorBidi" w:cstheme="majorBidi" w:hint="cs"/>
                <w:sz w:val="20"/>
                <w:szCs w:val="20"/>
                <w:rtl/>
                <w:lang w:bidi="ar-IQ"/>
              </w:rPr>
              <w:t>4</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1084</w:t>
            </w:r>
            <w:r>
              <w:rPr>
                <w:rFonts w:asciiTheme="majorBidi" w:hAnsiTheme="majorBidi" w:cstheme="majorBidi" w:hint="cs"/>
                <w:sz w:val="20"/>
                <w:szCs w:val="20"/>
                <w:rtl/>
                <w:lang w:bidi="ar-IQ"/>
              </w:rPr>
              <w:t>4</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lang w:bidi="ar-IQ"/>
              </w:rPr>
            </w:pPr>
            <w:r w:rsidRPr="001D778B">
              <w:rPr>
                <w:rFonts w:asciiTheme="majorBidi" w:hAnsiTheme="majorBidi" w:cstheme="majorBidi" w:hint="cs"/>
                <w:sz w:val="20"/>
                <w:szCs w:val="20"/>
                <w:rtl/>
                <w:lang w:bidi="ar-IQ"/>
              </w:rPr>
              <w:t>1110</w:t>
            </w:r>
            <w:r>
              <w:rPr>
                <w:rFonts w:asciiTheme="majorBidi" w:hAnsiTheme="majorBidi" w:cstheme="majorBidi" w:hint="cs"/>
                <w:sz w:val="20"/>
                <w:szCs w:val="20"/>
                <w:rtl/>
                <w:lang w:bidi="ar-IQ"/>
              </w:rPr>
              <w:t>2</w:t>
            </w:r>
          </w:p>
        </w:tc>
      </w:tr>
      <w:tr w:rsidR="00335B35" w:rsidRPr="001D778B" w:rsidTr="0004544E">
        <w:trPr>
          <w:cantSplit/>
          <w:trHeight w:val="188"/>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3</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Tigris and Euphrates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708</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154</w:t>
            </w:r>
            <w:r>
              <w:rPr>
                <w:rFonts w:asciiTheme="majorBidi" w:hAnsiTheme="majorBidi" w:cstheme="majorBidi" w:hint="cs"/>
                <w:sz w:val="20"/>
                <w:szCs w:val="20"/>
                <w:rtl/>
                <w:lang w:bidi="ar-IQ"/>
              </w:rPr>
              <w:t>4</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395</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4533</w:t>
            </w:r>
            <w:r>
              <w:rPr>
                <w:rFonts w:asciiTheme="majorBidi" w:hAnsiTheme="majorBidi" w:cstheme="majorBidi" w:hint="cs"/>
                <w:sz w:val="20"/>
                <w:szCs w:val="20"/>
                <w:rtl/>
                <w:lang w:bidi="ar-IQ"/>
              </w:rPr>
              <w:t>9</w:t>
            </w: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103</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2717</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0.7315</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w:t>
            </w:r>
          </w:p>
        </w:tc>
      </w:tr>
      <w:tr w:rsidR="00335B35" w:rsidRPr="001D778B" w:rsidTr="0004544E">
        <w:trPr>
          <w:cantSplit/>
          <w:trHeight w:val="161"/>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4</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Elaf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375</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261</w:t>
            </w:r>
            <w:r>
              <w:rPr>
                <w:rFonts w:asciiTheme="majorBidi" w:hAnsiTheme="majorBidi" w:cstheme="majorBidi" w:hint="cs"/>
                <w:sz w:val="20"/>
                <w:szCs w:val="20"/>
                <w:rtl/>
                <w:lang w:bidi="ar-IQ"/>
              </w:rPr>
              <w:t>4</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59</w:t>
            </w:r>
            <w:r>
              <w:rPr>
                <w:rFonts w:asciiTheme="majorBidi" w:hAnsiTheme="majorBidi" w:cstheme="majorBidi" w:hint="cs"/>
                <w:sz w:val="20"/>
                <w:szCs w:val="20"/>
                <w:rtl/>
                <w:lang w:bidi="ar-IQ"/>
              </w:rPr>
              <w:t>4</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22</w:t>
            </w:r>
            <w:r>
              <w:rPr>
                <w:rFonts w:asciiTheme="majorBidi" w:hAnsiTheme="majorBidi" w:cstheme="majorBidi" w:hint="cs"/>
                <w:sz w:val="20"/>
                <w:szCs w:val="20"/>
                <w:rtl/>
                <w:lang w:bidi="ar-IQ"/>
              </w:rPr>
              <w:t>2</w:t>
            </w: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136</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15117</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w:t>
            </w:r>
            <w:r>
              <w:rPr>
                <w:rFonts w:asciiTheme="majorBidi" w:hAnsiTheme="majorBidi" w:cstheme="majorBidi" w:hint="cs"/>
                <w:sz w:val="20"/>
                <w:szCs w:val="20"/>
                <w:rtl/>
                <w:lang w:bidi="ar-IQ"/>
              </w:rPr>
              <w:t>200</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40</w:t>
            </w:r>
            <w:r>
              <w:rPr>
                <w:rFonts w:asciiTheme="majorBidi" w:hAnsiTheme="majorBidi" w:cstheme="majorBidi" w:hint="cs"/>
                <w:sz w:val="20"/>
                <w:szCs w:val="20"/>
                <w:rtl/>
                <w:lang w:bidi="ar-IQ"/>
              </w:rPr>
              <w:t>000</w:t>
            </w:r>
          </w:p>
        </w:tc>
      </w:tr>
      <w:tr w:rsidR="00335B35" w:rsidRPr="001D778B" w:rsidTr="0004544E">
        <w:trPr>
          <w:cantSplit/>
          <w:trHeight w:val="134"/>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5</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Islamic National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19436</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966</w:t>
            </w:r>
            <w:r>
              <w:rPr>
                <w:rFonts w:asciiTheme="majorBidi" w:hAnsiTheme="majorBidi" w:cstheme="majorBidi" w:hint="cs"/>
                <w:sz w:val="20"/>
                <w:szCs w:val="20"/>
                <w:rtl/>
                <w:lang w:bidi="ar-IQ"/>
              </w:rPr>
              <w:t>8</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2545</w:t>
            </w:r>
            <w:r>
              <w:rPr>
                <w:rFonts w:asciiTheme="majorBidi" w:hAnsiTheme="majorBidi" w:cstheme="majorBidi" w:hint="cs"/>
                <w:sz w:val="20"/>
                <w:szCs w:val="20"/>
                <w:rtl/>
                <w:lang w:bidi="ar-IQ"/>
              </w:rPr>
              <w:t>3</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704</w:t>
            </w:r>
          </w:p>
        </w:tc>
      </w:tr>
      <w:tr w:rsidR="00335B35" w:rsidRPr="001D778B" w:rsidTr="0004544E">
        <w:trPr>
          <w:cantSplit/>
          <w:trHeight w:val="134"/>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6</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Arabia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0.024</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1307</w:t>
            </w:r>
            <w:r>
              <w:rPr>
                <w:rFonts w:asciiTheme="majorBidi" w:hAnsiTheme="majorBidi" w:cstheme="majorBidi" w:hint="cs"/>
                <w:sz w:val="20"/>
                <w:szCs w:val="20"/>
                <w:rtl/>
                <w:lang w:bidi="ar-IQ"/>
              </w:rPr>
              <w:t>50</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w:t>
            </w:r>
          </w:p>
        </w:tc>
      </w:tr>
      <w:tr w:rsidR="00335B35" w:rsidRPr="001D778B" w:rsidTr="0004544E">
        <w:trPr>
          <w:cantSplit/>
          <w:trHeight w:val="134"/>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7</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International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67</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371</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8</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Noor Iraq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5053</w:t>
            </w:r>
            <w:r>
              <w:rPr>
                <w:rFonts w:asciiTheme="majorBidi" w:hAnsiTheme="majorBidi" w:cstheme="majorBidi" w:hint="cs"/>
                <w:sz w:val="20"/>
                <w:szCs w:val="20"/>
                <w:rtl/>
                <w:lang w:bidi="ar-IQ"/>
              </w:rPr>
              <w:t>3</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9</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Zain Iraq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11250</w:t>
            </w:r>
            <w:r>
              <w:rPr>
                <w:rFonts w:asciiTheme="majorBidi" w:hAnsiTheme="majorBidi" w:cstheme="majorBidi" w:hint="cs"/>
                <w:sz w:val="20"/>
                <w:szCs w:val="20"/>
                <w:rtl/>
                <w:lang w:bidi="ar-IQ"/>
              </w:rPr>
              <w:t>7</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101474</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10</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Al-Qadeed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2316</w:t>
            </w:r>
            <w:r>
              <w:rPr>
                <w:rFonts w:asciiTheme="majorBidi" w:hAnsiTheme="majorBidi" w:cstheme="majorBidi" w:hint="cs"/>
                <w:sz w:val="20"/>
                <w:szCs w:val="20"/>
                <w:rtl/>
                <w:lang w:bidi="ar-IQ"/>
              </w:rPr>
              <w:t>4</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52000</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11</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Cihan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7047</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6794</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12</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Albilad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1353</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398</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13</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World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0.01</w:t>
            </w:r>
          </w:p>
        </w:tc>
      </w:tr>
      <w:tr w:rsidR="00335B35" w:rsidRPr="001D778B" w:rsidTr="0004544E">
        <w:trPr>
          <w:cantSplit/>
          <w:trHeight w:val="62"/>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14</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Islamic Trust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866</w:t>
            </w:r>
            <w:r>
              <w:rPr>
                <w:rFonts w:asciiTheme="majorBidi" w:hAnsiTheme="majorBidi" w:cstheme="majorBidi" w:hint="cs"/>
                <w:sz w:val="20"/>
                <w:szCs w:val="20"/>
                <w:rtl/>
                <w:lang w:bidi="ar-IQ"/>
              </w:rPr>
              <w:t>8</w:t>
            </w:r>
          </w:p>
        </w:tc>
      </w:tr>
      <w:tr w:rsidR="00335B35" w:rsidRPr="001D778B" w:rsidTr="0004544E">
        <w:trPr>
          <w:cantSplit/>
          <w:trHeight w:val="71"/>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r w:rsidRPr="001D778B">
              <w:rPr>
                <w:rFonts w:asciiTheme="majorBidi" w:hAnsiTheme="majorBidi" w:cstheme="majorBidi" w:hint="cs"/>
                <w:b/>
                <w:bCs/>
                <w:sz w:val="20"/>
                <w:szCs w:val="20"/>
                <w:rtl/>
                <w:lang w:bidi="ar-IQ"/>
              </w:rPr>
              <w:t>15</w:t>
            </w: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Asia Iraq Islamic Bank</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2987</w:t>
            </w:r>
          </w:p>
        </w:tc>
      </w:tr>
      <w:tr w:rsidR="00335B35" w:rsidRPr="001D778B" w:rsidTr="0004544E">
        <w:trPr>
          <w:cantSplit/>
          <w:trHeight w:val="260"/>
          <w:jc w:val="center"/>
        </w:trPr>
        <w:tc>
          <w:tcPr>
            <w:tcW w:w="450" w:type="dxa"/>
            <w:vAlign w:val="center"/>
          </w:tcPr>
          <w:p w:rsidR="00335B35" w:rsidRPr="001D778B" w:rsidRDefault="00335B35" w:rsidP="0004544E">
            <w:pPr>
              <w:pStyle w:val="a3"/>
              <w:tabs>
                <w:tab w:val="left" w:pos="2968"/>
              </w:tabs>
              <w:ind w:left="0"/>
              <w:jc w:val="center"/>
              <w:rPr>
                <w:rFonts w:asciiTheme="majorBidi" w:hAnsiTheme="majorBidi" w:cstheme="majorBidi"/>
                <w:b/>
                <w:bCs/>
                <w:sz w:val="20"/>
                <w:szCs w:val="20"/>
                <w:rtl/>
                <w:lang w:bidi="ar-IQ"/>
              </w:rPr>
            </w:pPr>
          </w:p>
        </w:tc>
        <w:tc>
          <w:tcPr>
            <w:tcW w:w="2195" w:type="dxa"/>
            <w:shd w:val="clear" w:color="auto" w:fill="F2DBDB" w:themeFill="accent2" w:themeFillTint="33"/>
            <w:vAlign w:val="center"/>
          </w:tcPr>
          <w:p w:rsidR="00335B35" w:rsidRPr="00335B35" w:rsidRDefault="00335B35" w:rsidP="0004544E">
            <w:pPr>
              <w:jc w:val="right"/>
              <w:rPr>
                <w:rFonts w:asciiTheme="majorBidi" w:hAnsiTheme="majorBidi" w:cstheme="majorBidi"/>
              </w:rPr>
            </w:pPr>
            <w:r w:rsidRPr="00335B35">
              <w:rPr>
                <w:rFonts w:asciiTheme="majorBidi" w:hAnsiTheme="majorBidi" w:cstheme="majorBidi"/>
              </w:rPr>
              <w:t>Total</w:t>
            </w:r>
          </w:p>
        </w:tc>
        <w:tc>
          <w:tcPr>
            <w:tcW w:w="63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1174</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sidRPr="001D778B">
              <w:rPr>
                <w:rFonts w:asciiTheme="majorBidi" w:hAnsiTheme="majorBidi" w:cstheme="majorBidi" w:hint="cs"/>
                <w:sz w:val="20"/>
                <w:szCs w:val="20"/>
                <w:rtl/>
                <w:lang w:bidi="ar-IQ"/>
              </w:rPr>
              <w:t>1554</w:t>
            </w:r>
            <w:r>
              <w:rPr>
                <w:rFonts w:asciiTheme="majorBidi" w:hAnsiTheme="majorBidi" w:cstheme="majorBidi" w:hint="cs"/>
                <w:sz w:val="20"/>
                <w:szCs w:val="20"/>
                <w:rtl/>
                <w:lang w:bidi="ar-IQ"/>
              </w:rPr>
              <w:t>9</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11245</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13347</w:t>
            </w:r>
          </w:p>
        </w:tc>
        <w:tc>
          <w:tcPr>
            <w:tcW w:w="857"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11736</w:t>
            </w:r>
          </w:p>
        </w:tc>
        <w:tc>
          <w:tcPr>
            <w:tcW w:w="72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5815</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43549</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49501</w:t>
            </w:r>
          </w:p>
        </w:tc>
        <w:tc>
          <w:tcPr>
            <w:tcW w:w="810" w:type="dxa"/>
            <w:vAlign w:val="center"/>
          </w:tcPr>
          <w:p w:rsidR="00335B35" w:rsidRPr="001D778B" w:rsidRDefault="00335B35" w:rsidP="0004544E">
            <w:pPr>
              <w:pStyle w:val="a3"/>
              <w:tabs>
                <w:tab w:val="left" w:pos="2968"/>
              </w:tabs>
              <w:ind w:left="0"/>
              <w:jc w:val="center"/>
              <w:rPr>
                <w:rFonts w:asciiTheme="majorBidi" w:hAnsiTheme="majorBidi" w:cstheme="majorBidi" w:hint="cs"/>
                <w:sz w:val="20"/>
                <w:szCs w:val="20"/>
                <w:rtl/>
                <w:lang w:bidi="ar-IQ"/>
              </w:rPr>
            </w:pPr>
            <w:r>
              <w:rPr>
                <w:rFonts w:asciiTheme="majorBidi" w:hAnsiTheme="majorBidi" w:cstheme="majorBidi" w:hint="cs"/>
                <w:sz w:val="20"/>
                <w:szCs w:val="20"/>
                <w:rtl/>
                <w:lang w:bidi="ar-IQ"/>
              </w:rPr>
              <w:t>66024</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201624</w:t>
            </w:r>
          </w:p>
        </w:tc>
        <w:tc>
          <w:tcPr>
            <w:tcW w:w="90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216252</w:t>
            </w:r>
          </w:p>
        </w:tc>
        <w:tc>
          <w:tcPr>
            <w:tcW w:w="943"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61115</w:t>
            </w:r>
          </w:p>
        </w:tc>
        <w:tc>
          <w:tcPr>
            <w:tcW w:w="117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41758.024</w:t>
            </w:r>
          </w:p>
        </w:tc>
        <w:tc>
          <w:tcPr>
            <w:tcW w:w="1440"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368248.7315</w:t>
            </w:r>
          </w:p>
        </w:tc>
        <w:tc>
          <w:tcPr>
            <w:tcW w:w="1162" w:type="dxa"/>
            <w:vAlign w:val="center"/>
          </w:tcPr>
          <w:p w:rsidR="00335B35" w:rsidRPr="001D778B" w:rsidRDefault="00335B35" w:rsidP="0004544E">
            <w:pPr>
              <w:pStyle w:val="a3"/>
              <w:tabs>
                <w:tab w:val="left" w:pos="2968"/>
              </w:tabs>
              <w:ind w:left="0"/>
              <w:jc w:val="center"/>
              <w:rPr>
                <w:rFonts w:asciiTheme="majorBidi" w:hAnsiTheme="majorBidi" w:cstheme="majorBidi"/>
                <w:sz w:val="20"/>
                <w:szCs w:val="20"/>
                <w:rtl/>
                <w:lang w:bidi="ar-IQ"/>
              </w:rPr>
            </w:pPr>
            <w:r>
              <w:rPr>
                <w:rFonts w:asciiTheme="majorBidi" w:hAnsiTheme="majorBidi" w:cstheme="majorBidi" w:hint="cs"/>
                <w:sz w:val="20"/>
                <w:szCs w:val="20"/>
                <w:rtl/>
                <w:lang w:bidi="ar-IQ"/>
              </w:rPr>
              <w:t>246996.01</w:t>
            </w:r>
          </w:p>
        </w:tc>
      </w:tr>
    </w:tbl>
    <w:p w:rsidR="0004544E" w:rsidRDefault="0004544E" w:rsidP="004279C5">
      <w:pPr>
        <w:bidi w:val="0"/>
        <w:jc w:val="mediumKashida"/>
        <w:rPr>
          <w:rFonts w:asciiTheme="majorBidi" w:hAnsiTheme="majorBidi" w:cstheme="majorBidi"/>
          <w:b/>
          <w:bCs/>
          <w:sz w:val="24"/>
          <w:szCs w:val="24"/>
          <w:lang w:bidi="ar-IQ"/>
        </w:rPr>
      </w:pPr>
    </w:p>
    <w:p w:rsidR="002E7788" w:rsidRPr="004279C5" w:rsidRDefault="004279C5" w:rsidP="0004544E">
      <w:pPr>
        <w:bidi w:val="0"/>
        <w:jc w:val="mediumKashida"/>
        <w:rPr>
          <w:rFonts w:asciiTheme="majorBidi" w:hAnsiTheme="majorBidi" w:cstheme="majorBidi"/>
          <w:b/>
          <w:bCs/>
          <w:sz w:val="24"/>
          <w:szCs w:val="24"/>
          <w:lang w:bidi="ar-IQ"/>
        </w:rPr>
      </w:pPr>
      <w:r w:rsidRPr="004279C5">
        <w:rPr>
          <w:rFonts w:asciiTheme="majorBidi" w:hAnsiTheme="majorBidi" w:cstheme="majorBidi"/>
          <w:b/>
          <w:bCs/>
          <w:sz w:val="24"/>
          <w:szCs w:val="24"/>
          <w:lang w:bidi="ar-IQ"/>
        </w:rPr>
        <w:t>Source: bulletins of the Iraq Stock Exchange for the period (</w:t>
      </w:r>
      <w:r w:rsidR="001C0C88">
        <w:rPr>
          <w:rFonts w:asciiTheme="majorBidi" w:hAnsiTheme="majorBidi" w:cstheme="majorBidi"/>
          <w:b/>
          <w:bCs/>
          <w:sz w:val="24"/>
          <w:szCs w:val="24"/>
          <w:lang w:bidi="ar-IQ"/>
        </w:rPr>
        <w:t xml:space="preserve"> </w:t>
      </w:r>
      <w:r w:rsidRPr="004279C5">
        <w:rPr>
          <w:rFonts w:asciiTheme="majorBidi" w:hAnsiTheme="majorBidi" w:cstheme="majorBidi"/>
          <w:b/>
          <w:bCs/>
          <w:sz w:val="24"/>
          <w:szCs w:val="24"/>
          <w:lang w:bidi="ar-IQ"/>
        </w:rPr>
        <w:t>2004-2018</w:t>
      </w:r>
      <w:r w:rsidR="001C0C88">
        <w:rPr>
          <w:rFonts w:asciiTheme="majorBidi" w:hAnsiTheme="majorBidi" w:cstheme="majorBidi"/>
          <w:b/>
          <w:bCs/>
          <w:sz w:val="24"/>
          <w:szCs w:val="24"/>
          <w:lang w:bidi="ar-IQ"/>
        </w:rPr>
        <w:t xml:space="preserve"> </w:t>
      </w:r>
      <w:r w:rsidRPr="004279C5">
        <w:rPr>
          <w:rFonts w:asciiTheme="majorBidi" w:hAnsiTheme="majorBidi" w:cstheme="majorBidi"/>
          <w:b/>
          <w:bCs/>
          <w:sz w:val="24"/>
          <w:szCs w:val="24"/>
          <w:lang w:bidi="ar-IQ"/>
        </w:rPr>
        <w:t>)</w:t>
      </w:r>
    </w:p>
    <w:p w:rsidR="004279C5" w:rsidRPr="004279C5" w:rsidRDefault="004279C5" w:rsidP="004279C5">
      <w:pPr>
        <w:bidi w:val="0"/>
        <w:jc w:val="mediumKashida"/>
        <w:rPr>
          <w:rFonts w:asciiTheme="majorBidi" w:hAnsiTheme="majorBidi" w:cstheme="majorBidi"/>
          <w:b/>
          <w:bCs/>
          <w:sz w:val="24"/>
          <w:szCs w:val="24"/>
          <w:rtl/>
          <w:lang w:bidi="ar-IQ"/>
        </w:rPr>
        <w:sectPr w:rsidR="004279C5" w:rsidRPr="004279C5" w:rsidSect="001F08A3">
          <w:pgSz w:w="16838" w:h="11906" w:orient="landscape"/>
          <w:pgMar w:top="1440" w:right="1440" w:bottom="1440" w:left="1440" w:header="720" w:footer="720" w:gutter="0"/>
          <w:cols w:space="720"/>
          <w:docGrid w:linePitch="360"/>
        </w:sectPr>
      </w:pPr>
    </w:p>
    <w:p w:rsidR="00E35B33" w:rsidRPr="004B2EE3" w:rsidRDefault="00E35B33" w:rsidP="00E35B33">
      <w:pPr>
        <w:spacing w:after="0" w:line="360" w:lineRule="auto"/>
        <w:ind w:firstLine="532"/>
        <w:jc w:val="right"/>
        <w:rPr>
          <w:rFonts w:ascii="Times New Roman" w:hAnsi="Times New Roman" w:cs="Times New Roman"/>
          <w:sz w:val="28"/>
          <w:szCs w:val="28"/>
          <w:rtl/>
          <w:lang w:bidi="ar-IQ"/>
        </w:rPr>
      </w:pPr>
      <w:r w:rsidRPr="001C0C88">
        <w:rPr>
          <w:rFonts w:asciiTheme="majorBidi" w:hAnsiTheme="majorBidi" w:cstheme="majorBidi"/>
          <w:sz w:val="24"/>
          <w:szCs w:val="24"/>
          <w:lang w:bidi="ar-IQ"/>
        </w:rPr>
        <w:lastRenderedPageBreak/>
        <w:t>Figure (</w:t>
      </w:r>
      <w:r>
        <w:rPr>
          <w:rFonts w:asciiTheme="majorBidi" w:hAnsiTheme="majorBidi" w:cstheme="majorBidi"/>
          <w:sz w:val="24"/>
          <w:szCs w:val="24"/>
          <w:lang w:bidi="ar-IQ"/>
        </w:rPr>
        <w:t>2</w:t>
      </w:r>
      <w:r w:rsidRPr="001C0C88">
        <w:rPr>
          <w:rFonts w:asciiTheme="majorBidi" w:hAnsiTheme="majorBidi" w:cstheme="majorBidi"/>
          <w:sz w:val="24"/>
          <w:szCs w:val="24"/>
          <w:lang w:bidi="ar-IQ"/>
        </w:rPr>
        <w:t>) shows the trading volume index of Iraqi Islamic banks for the period from (2004 - 2018)</w:t>
      </w:r>
      <w:r>
        <w:rPr>
          <w:rFonts w:asciiTheme="majorBidi" w:hAnsiTheme="majorBidi" w:cstheme="majorBidi"/>
          <w:sz w:val="24"/>
          <w:szCs w:val="24"/>
          <w:lang w:bidi="ar-IQ"/>
        </w:rPr>
        <w:t xml:space="preserve"> </w:t>
      </w:r>
    </w:p>
    <w:p w:rsidR="00E35B33" w:rsidRPr="00885F97" w:rsidRDefault="00E35B33" w:rsidP="00E35B33">
      <w:pPr>
        <w:spacing w:after="0" w:line="360" w:lineRule="auto"/>
        <w:jc w:val="center"/>
        <w:rPr>
          <w:rFonts w:ascii="Times New Roman" w:hAnsi="Times New Roman" w:cs="Times New Roman"/>
          <w:sz w:val="28"/>
          <w:szCs w:val="28"/>
          <w:rtl/>
          <w:lang w:bidi="ar-IQ"/>
        </w:rPr>
      </w:pPr>
      <w:r>
        <w:rPr>
          <w:rFonts w:ascii="Times New Roman" w:hAnsi="Times New Roman" w:cs="Times New Roman"/>
          <w:noProof/>
          <w:sz w:val="28"/>
          <w:szCs w:val="28"/>
        </w:rPr>
        <w:drawing>
          <wp:inline distT="0" distB="0" distL="0" distR="0">
            <wp:extent cx="5054459" cy="2257778"/>
            <wp:effectExtent l="19050" t="0" r="12841" b="9172"/>
            <wp:docPr id="2" name="مخطط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5B33" w:rsidRPr="001C0C88" w:rsidRDefault="00E35B33" w:rsidP="00E35B33">
      <w:pPr>
        <w:bidi w:val="0"/>
        <w:spacing w:after="0"/>
        <w:jc w:val="mediumKashida"/>
        <w:rPr>
          <w:rFonts w:ascii="Times New Roman" w:hAnsi="Times New Roman" w:cs="Times New Roman"/>
          <w:b/>
          <w:bCs/>
          <w:sz w:val="24"/>
          <w:szCs w:val="24"/>
          <w:lang w:bidi="ar-IQ"/>
        </w:rPr>
      </w:pPr>
      <w:r w:rsidRPr="001C0C88">
        <w:rPr>
          <w:rFonts w:ascii="Times New Roman" w:hAnsi="Times New Roman" w:cs="Times New Roman"/>
          <w:b/>
          <w:bCs/>
          <w:sz w:val="24"/>
          <w:szCs w:val="24"/>
          <w:lang w:bidi="ar-IQ"/>
        </w:rPr>
        <w:t>Source / from the researcher’s work based on the data in Table (</w:t>
      </w:r>
      <w:r>
        <w:rPr>
          <w:rFonts w:ascii="Times New Roman" w:hAnsi="Times New Roman" w:cs="Times New Roman"/>
          <w:b/>
          <w:bCs/>
          <w:sz w:val="24"/>
          <w:szCs w:val="24"/>
          <w:lang w:bidi="ar-IQ"/>
        </w:rPr>
        <w:t>2</w:t>
      </w:r>
      <w:r w:rsidRPr="001C0C88">
        <w:rPr>
          <w:rFonts w:ascii="Times New Roman" w:hAnsi="Times New Roman" w:cs="Times New Roman"/>
          <w:b/>
          <w:bCs/>
          <w:sz w:val="24"/>
          <w:szCs w:val="24"/>
          <w:lang w:bidi="ar-IQ"/>
        </w:rPr>
        <w:t>)</w:t>
      </w:r>
    </w:p>
    <w:p w:rsidR="00E35B33" w:rsidRPr="001C0C88" w:rsidRDefault="00E35B33" w:rsidP="00E35B33">
      <w:pPr>
        <w:bidi w:val="0"/>
        <w:spacing w:after="0"/>
        <w:jc w:val="center"/>
        <w:rPr>
          <w:rFonts w:ascii="Times New Roman" w:hAnsi="Times New Roman" w:cs="Times New Roman"/>
          <w:b/>
          <w:bCs/>
          <w:sz w:val="24"/>
          <w:szCs w:val="24"/>
          <w:lang w:bidi="ar-IQ"/>
        </w:rPr>
      </w:pPr>
      <w:r w:rsidRPr="001C0C88">
        <w:rPr>
          <w:rFonts w:ascii="Times New Roman" w:hAnsi="Times New Roman" w:cs="Times New Roman"/>
          <w:b/>
          <w:bCs/>
          <w:sz w:val="24"/>
          <w:szCs w:val="24"/>
          <w:lang w:bidi="ar-IQ"/>
        </w:rPr>
        <w:t>shape (</w:t>
      </w:r>
      <w:r>
        <w:rPr>
          <w:rFonts w:ascii="Times New Roman" w:hAnsi="Times New Roman" w:cs="Times New Roman"/>
          <w:b/>
          <w:bCs/>
          <w:sz w:val="24"/>
          <w:szCs w:val="24"/>
          <w:lang w:bidi="ar-IQ"/>
        </w:rPr>
        <w:t>2</w:t>
      </w:r>
      <w:r w:rsidRPr="001C0C88">
        <w:rPr>
          <w:rFonts w:ascii="Times New Roman" w:hAnsi="Times New Roman" w:cs="Times New Roman"/>
          <w:b/>
          <w:bCs/>
          <w:sz w:val="24"/>
          <w:szCs w:val="24"/>
          <w:lang w:bidi="ar-IQ"/>
        </w:rPr>
        <w:t>)</w:t>
      </w:r>
    </w:p>
    <w:p w:rsidR="00E35B33" w:rsidRDefault="00E35B33" w:rsidP="00E35B33">
      <w:pPr>
        <w:bidi w:val="0"/>
        <w:spacing w:after="0"/>
        <w:jc w:val="mediumKashida"/>
        <w:rPr>
          <w:rFonts w:asciiTheme="majorBidi" w:hAnsiTheme="majorBidi" w:cstheme="majorBidi"/>
          <w:sz w:val="24"/>
          <w:szCs w:val="24"/>
          <w:lang w:bidi="ar-IQ"/>
        </w:rPr>
      </w:pPr>
      <w:r w:rsidRPr="001C0C88">
        <w:rPr>
          <w:rFonts w:ascii="Times New Roman" w:hAnsi="Times New Roman" w:cs="Times New Roman"/>
          <w:b/>
          <w:bCs/>
          <w:sz w:val="24"/>
          <w:szCs w:val="24"/>
          <w:lang w:bidi="ar-IQ"/>
        </w:rPr>
        <w:t xml:space="preserve">Trading volume index for Iraqi Islamic banks for the period (2004 </w:t>
      </w:r>
      <w:r>
        <w:rPr>
          <w:rFonts w:ascii="Times New Roman" w:hAnsi="Times New Roman" w:cs="Times New Roman"/>
          <w:b/>
          <w:bCs/>
          <w:sz w:val="24"/>
          <w:szCs w:val="24"/>
          <w:lang w:bidi="ar-IQ"/>
        </w:rPr>
        <w:t>–</w:t>
      </w:r>
      <w:r w:rsidRPr="001C0C88">
        <w:rPr>
          <w:rFonts w:ascii="Times New Roman" w:hAnsi="Times New Roman" w:cs="Times New Roman"/>
          <w:b/>
          <w:bCs/>
          <w:sz w:val="24"/>
          <w:szCs w:val="24"/>
          <w:lang w:bidi="ar-IQ"/>
        </w:rPr>
        <w:t xml:space="preserve"> 20</w:t>
      </w:r>
      <w:r>
        <w:rPr>
          <w:rFonts w:ascii="Times New Roman" w:hAnsi="Times New Roman" w:cs="Times New Roman"/>
          <w:b/>
          <w:bCs/>
          <w:sz w:val="24"/>
          <w:szCs w:val="24"/>
          <w:lang w:bidi="ar-IQ"/>
        </w:rPr>
        <w:t xml:space="preserve">18 </w:t>
      </w:r>
      <w:r w:rsidRPr="001C0C88">
        <w:rPr>
          <w:rFonts w:ascii="Times New Roman" w:hAnsi="Times New Roman" w:cs="Times New Roman"/>
          <w:b/>
          <w:bCs/>
          <w:sz w:val="24"/>
          <w:szCs w:val="24"/>
          <w:lang w:bidi="ar-IQ"/>
        </w:rPr>
        <w:t>)</w:t>
      </w:r>
    </w:p>
    <w:p w:rsidR="00E35B33" w:rsidRPr="006C7B16" w:rsidRDefault="00E35B33" w:rsidP="00E35B33">
      <w:pPr>
        <w:bidi w:val="0"/>
        <w:jc w:val="mediumKashida"/>
        <w:rPr>
          <w:rFonts w:asciiTheme="majorBidi" w:hAnsiTheme="majorBidi" w:cstheme="majorBidi"/>
          <w:b/>
          <w:bCs/>
          <w:color w:val="C00000"/>
          <w:sz w:val="20"/>
          <w:szCs w:val="20"/>
          <w:lang w:bidi="ar-IQ"/>
        </w:rPr>
      </w:pPr>
    </w:p>
    <w:p w:rsidR="00335B35" w:rsidRPr="001F7980" w:rsidRDefault="00335B35" w:rsidP="00E35B33">
      <w:pPr>
        <w:bidi w:val="0"/>
        <w:jc w:val="mediumKashida"/>
        <w:rPr>
          <w:rFonts w:asciiTheme="majorBidi" w:hAnsiTheme="majorBidi" w:cstheme="majorBidi"/>
          <w:b/>
          <w:bCs/>
          <w:color w:val="C00000"/>
          <w:sz w:val="24"/>
          <w:szCs w:val="24"/>
          <w:lang w:bidi="ar-IQ"/>
        </w:rPr>
      </w:pPr>
      <w:r w:rsidRPr="003C1E2E">
        <w:rPr>
          <w:rFonts w:asciiTheme="majorBidi" w:hAnsiTheme="majorBidi" w:cstheme="majorBidi"/>
          <w:b/>
          <w:bCs/>
          <w:color w:val="FF0000"/>
          <w:sz w:val="24"/>
          <w:szCs w:val="24"/>
          <w:u w:val="single"/>
          <w:lang w:bidi="ar-IQ"/>
        </w:rPr>
        <w:t>Section Two:</w:t>
      </w:r>
      <w:r w:rsidRPr="003C1E2E">
        <w:rPr>
          <w:rFonts w:asciiTheme="majorBidi" w:hAnsiTheme="majorBidi" w:cstheme="majorBidi"/>
          <w:b/>
          <w:bCs/>
          <w:color w:val="FF0000"/>
          <w:sz w:val="24"/>
          <w:szCs w:val="24"/>
          <w:lang w:bidi="ar-IQ"/>
        </w:rPr>
        <w:t xml:space="preserve"> </w:t>
      </w:r>
      <w:r w:rsidRPr="001F7980">
        <w:rPr>
          <w:rFonts w:asciiTheme="majorBidi" w:hAnsiTheme="majorBidi" w:cstheme="majorBidi"/>
          <w:b/>
          <w:bCs/>
          <w:color w:val="C00000"/>
          <w:sz w:val="24"/>
          <w:szCs w:val="24"/>
          <w:lang w:bidi="ar-IQ"/>
        </w:rPr>
        <w:t>Analysis of the percentage of Iraqi Islamic banks’ contribution to the Iraqi Stock Exchange for the period (2004-2018).</w:t>
      </w:r>
    </w:p>
    <w:p w:rsidR="00335B35" w:rsidRPr="00335B35" w:rsidRDefault="00335B35" w:rsidP="00335B35">
      <w:pPr>
        <w:bidi w:val="0"/>
        <w:jc w:val="mediumKashida"/>
        <w:rPr>
          <w:rFonts w:asciiTheme="majorBidi" w:hAnsiTheme="majorBidi" w:cstheme="majorBidi"/>
          <w:sz w:val="24"/>
          <w:szCs w:val="24"/>
          <w:lang w:bidi="ar-IQ"/>
        </w:rPr>
      </w:pPr>
      <w:r w:rsidRPr="00335B35">
        <w:rPr>
          <w:rFonts w:asciiTheme="majorBidi" w:hAnsiTheme="majorBidi" w:cstheme="majorBidi"/>
          <w:sz w:val="24"/>
          <w:szCs w:val="24"/>
          <w:lang w:bidi="ar-IQ"/>
        </w:rPr>
        <w:t xml:space="preserve">  In this section, the percentage of the contribution of Islamic banks will be analyzed, and the following are the percentages of the contribution of the indicators of Islamic banks to the indicators of the Iraq Stock Exchange for the period (2004-2018):</w:t>
      </w:r>
    </w:p>
    <w:p w:rsidR="00335B35" w:rsidRPr="001F7980" w:rsidRDefault="00335B35" w:rsidP="00335B35">
      <w:pPr>
        <w:bidi w:val="0"/>
        <w:jc w:val="mediumKashida"/>
        <w:rPr>
          <w:rFonts w:asciiTheme="majorBidi" w:hAnsiTheme="majorBidi" w:cstheme="majorBidi"/>
          <w:b/>
          <w:bCs/>
          <w:color w:val="365F91" w:themeColor="accent1" w:themeShade="BF"/>
          <w:sz w:val="24"/>
          <w:szCs w:val="24"/>
          <w:lang w:bidi="ar-IQ"/>
        </w:rPr>
      </w:pPr>
      <w:r w:rsidRPr="001F7980">
        <w:rPr>
          <w:rFonts w:asciiTheme="majorBidi" w:hAnsiTheme="majorBidi" w:cstheme="majorBidi"/>
          <w:b/>
          <w:bCs/>
          <w:color w:val="365F91" w:themeColor="accent1" w:themeShade="BF"/>
          <w:sz w:val="24"/>
          <w:szCs w:val="24"/>
          <w:lang w:bidi="ar-IQ"/>
        </w:rPr>
        <w:t>A) The market value index of Islamic banks to the total market value of the Iraqi financial market for the period (2004-2018):</w:t>
      </w:r>
    </w:p>
    <w:p w:rsidR="00335B35" w:rsidRPr="00335B35" w:rsidRDefault="00335B35" w:rsidP="00335B35">
      <w:pPr>
        <w:bidi w:val="0"/>
        <w:jc w:val="mediumKashida"/>
        <w:rPr>
          <w:rFonts w:asciiTheme="majorBidi" w:hAnsiTheme="majorBidi" w:cstheme="majorBidi"/>
          <w:sz w:val="24"/>
          <w:szCs w:val="24"/>
          <w:lang w:bidi="ar-IQ"/>
        </w:rPr>
      </w:pPr>
      <w:r w:rsidRPr="00335B35">
        <w:rPr>
          <w:rFonts w:asciiTheme="majorBidi" w:hAnsiTheme="majorBidi" w:cstheme="majorBidi"/>
          <w:sz w:val="24"/>
          <w:szCs w:val="24"/>
          <w:lang w:bidi="ar-IQ"/>
        </w:rPr>
        <w:t xml:space="preserve">        Through Table (3) it becomes clear to us the ratio of the contribution of the market value of the Iraqi Islamic banks to the total market value of the Iraqi Stock Exchange.</w:t>
      </w:r>
    </w:p>
    <w:p w:rsidR="00335B35" w:rsidRPr="00335B35" w:rsidRDefault="00335B35" w:rsidP="002E7788">
      <w:pPr>
        <w:bidi w:val="0"/>
        <w:rPr>
          <w:rFonts w:asciiTheme="majorBidi" w:hAnsiTheme="majorBidi" w:cstheme="majorBidi"/>
          <w:sz w:val="24"/>
          <w:szCs w:val="24"/>
          <w:lang w:bidi="ar-IQ"/>
        </w:rPr>
      </w:pPr>
      <w:r w:rsidRPr="00335B35">
        <w:rPr>
          <w:rFonts w:asciiTheme="majorBidi" w:hAnsiTheme="majorBidi" w:cstheme="majorBidi"/>
          <w:sz w:val="24"/>
          <w:szCs w:val="24"/>
          <w:lang w:bidi="ar-IQ"/>
        </w:rPr>
        <w:t>Table (3)</w:t>
      </w:r>
    </w:p>
    <w:p w:rsidR="00335B35" w:rsidRDefault="00335B35" w:rsidP="00BC477A">
      <w:pPr>
        <w:bidi w:val="0"/>
        <w:spacing w:after="0"/>
        <w:rPr>
          <w:rFonts w:asciiTheme="majorBidi" w:hAnsiTheme="majorBidi" w:cstheme="majorBidi"/>
          <w:sz w:val="24"/>
          <w:szCs w:val="24"/>
          <w:lang w:bidi="ar-IQ"/>
        </w:rPr>
      </w:pPr>
      <w:r w:rsidRPr="00335B35">
        <w:rPr>
          <w:rFonts w:asciiTheme="majorBidi" w:hAnsiTheme="majorBidi" w:cstheme="majorBidi"/>
          <w:sz w:val="24"/>
          <w:szCs w:val="24"/>
          <w:lang w:bidi="ar-IQ"/>
        </w:rPr>
        <w:t>The ratio of the market value index of Iraqi Islamic banks to the total market value of the Iraqi financial market for the period (2004-2018)</w:t>
      </w:r>
      <w:r w:rsidR="002E7788">
        <w:rPr>
          <w:rFonts w:asciiTheme="majorBidi" w:hAnsiTheme="majorBidi" w:cstheme="majorBidi"/>
          <w:sz w:val="24"/>
          <w:szCs w:val="24"/>
          <w:lang w:bidi="ar-IQ"/>
        </w:rPr>
        <w:t xml:space="preserve"> </w:t>
      </w:r>
      <w:r w:rsidRPr="00335B35">
        <w:rPr>
          <w:rFonts w:asciiTheme="majorBidi" w:hAnsiTheme="majorBidi" w:cstheme="majorBidi"/>
          <w:sz w:val="24"/>
          <w:szCs w:val="24"/>
          <w:lang w:bidi="ar-IQ"/>
        </w:rPr>
        <w:t>:</w:t>
      </w:r>
    </w:p>
    <w:p w:rsidR="002E7788" w:rsidRPr="00022949" w:rsidRDefault="002E7788" w:rsidP="002E7788">
      <w:pPr>
        <w:bidi w:val="0"/>
        <w:jc w:val="mediumKashida"/>
        <w:rPr>
          <w:rFonts w:asciiTheme="majorBidi" w:hAnsiTheme="majorBidi" w:cstheme="majorBidi"/>
          <w:sz w:val="2"/>
          <w:szCs w:val="2"/>
          <w:lang w:bidi="ar-IQ"/>
        </w:rPr>
      </w:pPr>
    </w:p>
    <w:tbl>
      <w:tblPr>
        <w:tblStyle w:val="a4"/>
        <w:tblW w:w="0" w:type="auto"/>
        <w:jc w:val="center"/>
        <w:tblInd w:w="44" w:type="dxa"/>
        <w:tblLook w:val="04A0"/>
      </w:tblPr>
      <w:tblGrid>
        <w:gridCol w:w="1260"/>
        <w:gridCol w:w="2970"/>
        <w:gridCol w:w="3510"/>
        <w:gridCol w:w="1349"/>
      </w:tblGrid>
      <w:tr w:rsidR="002E7788" w:rsidRPr="00C65222" w:rsidTr="00C65222">
        <w:trPr>
          <w:jc w:val="center"/>
        </w:trPr>
        <w:tc>
          <w:tcPr>
            <w:tcW w:w="1260" w:type="dxa"/>
            <w:vAlign w:val="center"/>
          </w:tcPr>
          <w:p w:rsidR="002E7788" w:rsidRPr="00C65222" w:rsidRDefault="00CB01F7"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Y</w:t>
            </w:r>
            <w:r w:rsidR="002E7788" w:rsidRPr="00C65222">
              <w:rPr>
                <w:rFonts w:asciiTheme="majorBidi" w:hAnsiTheme="majorBidi" w:cstheme="majorBidi"/>
                <w:b/>
                <w:bCs/>
                <w:sz w:val="24"/>
                <w:szCs w:val="24"/>
              </w:rPr>
              <w:t>ear</w:t>
            </w:r>
          </w:p>
        </w:tc>
        <w:tc>
          <w:tcPr>
            <w:tcW w:w="2970" w:type="dxa"/>
            <w:vAlign w:val="center"/>
          </w:tcPr>
          <w:p w:rsidR="002E7788" w:rsidRPr="00C65222" w:rsidRDefault="002E7788"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Market value of Islamic banks (million dinars)</w:t>
            </w:r>
          </w:p>
          <w:p w:rsidR="002E7788" w:rsidRPr="00C65222" w:rsidRDefault="002E7788" w:rsidP="00C65222">
            <w:pPr>
              <w:jc w:val="center"/>
              <w:rPr>
                <w:rFonts w:asciiTheme="majorBidi" w:hAnsiTheme="majorBidi" w:cstheme="majorBidi"/>
                <w:b/>
                <w:bCs/>
                <w:sz w:val="24"/>
                <w:szCs w:val="24"/>
                <w:rtl/>
                <w:lang w:bidi="ar-IQ"/>
              </w:rPr>
            </w:pPr>
            <w:r w:rsidRPr="00C65222">
              <w:rPr>
                <w:rFonts w:asciiTheme="majorBidi" w:hAnsiTheme="majorBidi" w:cstheme="majorBidi"/>
                <w:b/>
                <w:bCs/>
                <w:sz w:val="24"/>
                <w:szCs w:val="24"/>
              </w:rPr>
              <w:t>(1)</w:t>
            </w:r>
          </w:p>
        </w:tc>
        <w:tc>
          <w:tcPr>
            <w:tcW w:w="3510" w:type="dxa"/>
            <w:vAlign w:val="center"/>
          </w:tcPr>
          <w:p w:rsidR="002E7788" w:rsidRPr="00C65222" w:rsidRDefault="002E7788"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The total market value of the Iraq Stock Exchange (million dinars)</w:t>
            </w:r>
          </w:p>
          <w:p w:rsidR="002E7788" w:rsidRPr="00C65222" w:rsidRDefault="002E7788" w:rsidP="00C65222">
            <w:pPr>
              <w:jc w:val="center"/>
              <w:rPr>
                <w:rFonts w:asciiTheme="majorBidi" w:hAnsiTheme="majorBidi" w:cstheme="majorBidi"/>
                <w:b/>
                <w:bCs/>
                <w:sz w:val="24"/>
                <w:szCs w:val="24"/>
                <w:rtl/>
                <w:lang w:bidi="ar-IQ"/>
              </w:rPr>
            </w:pPr>
            <w:r w:rsidRPr="00C65222">
              <w:rPr>
                <w:rFonts w:asciiTheme="majorBidi" w:hAnsiTheme="majorBidi" w:cstheme="majorBidi"/>
                <w:b/>
                <w:bCs/>
                <w:sz w:val="24"/>
                <w:szCs w:val="24"/>
              </w:rPr>
              <w:t>(2)</w:t>
            </w:r>
          </w:p>
        </w:tc>
        <w:tc>
          <w:tcPr>
            <w:tcW w:w="1260" w:type="dxa"/>
            <w:vAlign w:val="center"/>
          </w:tcPr>
          <w:p w:rsidR="002E7788" w:rsidRPr="00C65222" w:rsidRDefault="002E7788"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Percentage</w:t>
            </w:r>
          </w:p>
          <w:p w:rsidR="002E7788" w:rsidRPr="00C65222" w:rsidRDefault="002E7788"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w:t>
            </w:r>
          </w:p>
          <w:p w:rsidR="002E7788" w:rsidRPr="00C65222" w:rsidRDefault="002E7788" w:rsidP="006F2D70">
            <w:pPr>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 xml:space="preserve">( 1 </w:t>
            </w:r>
            <w:r w:rsidR="006F2D70">
              <w:rPr>
                <w:rFonts w:asciiTheme="majorBidi" w:hAnsiTheme="majorBidi" w:cstheme="majorBidi"/>
                <w:b/>
                <w:bCs/>
                <w:sz w:val="24"/>
                <w:szCs w:val="24"/>
                <w:lang w:bidi="ar-IQ"/>
              </w:rPr>
              <w:t>/</w:t>
            </w:r>
            <w:r w:rsidRPr="00C65222">
              <w:rPr>
                <w:rFonts w:asciiTheme="majorBidi" w:hAnsiTheme="majorBidi" w:cstheme="majorBidi"/>
                <w:b/>
                <w:bCs/>
                <w:sz w:val="24"/>
                <w:szCs w:val="24"/>
                <w:rtl/>
                <w:lang w:bidi="ar-IQ"/>
              </w:rPr>
              <w:t xml:space="preserve"> 2)</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2004</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11376</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1709710</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0.67</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2005</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104944</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lang w:bidi="ar-IQ"/>
              </w:rPr>
            </w:pPr>
            <w:r w:rsidRPr="00C65222">
              <w:rPr>
                <w:rFonts w:asciiTheme="majorBidi" w:hAnsiTheme="majorBidi" w:cstheme="majorBidi" w:hint="cs"/>
                <w:b/>
                <w:bCs/>
                <w:sz w:val="24"/>
                <w:szCs w:val="24"/>
                <w:rtl/>
                <w:lang w:bidi="ar-IQ"/>
              </w:rPr>
              <w:t>3244105</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3.23</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lastRenderedPageBreak/>
              <w:t>2006</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221757</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1913863</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11.59</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2007</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107977</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2107272</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5.12</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2008</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100477</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2259907</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4.45</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2009</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146252</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3329115</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4.39</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2010</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223573</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3396201</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6.58</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2011</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617908</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4815593</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12.83</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2012</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904960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5193271</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17.43</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2013</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1111890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6368360</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17.46</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2014</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1174460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9492321</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12.37</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2015</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1084610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8809814</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12.31</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2016</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1233960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8466997</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14.57</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2017</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2934960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10227817</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28.70</w:t>
            </w:r>
          </w:p>
        </w:tc>
      </w:tr>
      <w:tr w:rsidR="002E7788" w:rsidRPr="00C65222" w:rsidTr="00C65222">
        <w:trPr>
          <w:jc w:val="center"/>
        </w:trPr>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2018</w:t>
            </w:r>
          </w:p>
        </w:tc>
        <w:tc>
          <w:tcPr>
            <w:tcW w:w="297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2629150</w:t>
            </w:r>
          </w:p>
        </w:tc>
        <w:tc>
          <w:tcPr>
            <w:tcW w:w="351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9929545</w:t>
            </w:r>
          </w:p>
        </w:tc>
        <w:tc>
          <w:tcPr>
            <w:tcW w:w="1260" w:type="dxa"/>
            <w:vAlign w:val="center"/>
          </w:tcPr>
          <w:p w:rsidR="002E7788" w:rsidRPr="00C65222" w:rsidRDefault="002E7788"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hint="cs"/>
                <w:b/>
                <w:bCs/>
                <w:sz w:val="24"/>
                <w:szCs w:val="24"/>
                <w:rtl/>
                <w:lang w:bidi="ar-IQ"/>
              </w:rPr>
              <w:t>26.48</w:t>
            </w:r>
          </w:p>
        </w:tc>
      </w:tr>
    </w:tbl>
    <w:p w:rsidR="00C65222" w:rsidRPr="00C65222" w:rsidRDefault="00C65222" w:rsidP="00022949">
      <w:pPr>
        <w:bidi w:val="0"/>
        <w:spacing w:after="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Source / Annual Bulletin of the Iraq Stock Exchange for the period from (2004 - 2018)</w:t>
      </w:r>
    </w:p>
    <w:p w:rsidR="00C65222" w:rsidRPr="002B014D" w:rsidRDefault="00C65222" w:rsidP="00022949">
      <w:pPr>
        <w:bidi w:val="0"/>
        <w:jc w:val="lowKashida"/>
        <w:rPr>
          <w:rFonts w:asciiTheme="majorBidi" w:hAnsiTheme="majorBidi" w:cstheme="majorBidi"/>
          <w:sz w:val="24"/>
          <w:szCs w:val="24"/>
          <w:lang w:bidi="ar-IQ"/>
        </w:rPr>
      </w:pPr>
      <w:r w:rsidRPr="002B014D">
        <w:rPr>
          <w:rFonts w:asciiTheme="majorBidi" w:hAnsiTheme="majorBidi" w:cstheme="majorBidi"/>
          <w:sz w:val="24"/>
          <w:szCs w:val="24"/>
          <w:lang w:bidi="ar-IQ"/>
        </w:rPr>
        <w:t>Percentage of the researcher's work</w:t>
      </w:r>
    </w:p>
    <w:p w:rsidR="00C65222" w:rsidRPr="00C65222" w:rsidRDefault="00C65222" w:rsidP="00C65222">
      <w:pPr>
        <w:bidi w:val="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As we note through the table the clear fluctuation in the percentage, up and down during the study period. In 2004, the market value ratio reached (0.67%), and in 2011 the percentage rose to (12.83%) due to the improvement in the security and economic conditions, and the rise continued as it reached The percentage (26.48%) in 2018.</w:t>
      </w:r>
    </w:p>
    <w:p w:rsidR="00C65222" w:rsidRPr="001F7980" w:rsidRDefault="00C65222" w:rsidP="00C65222">
      <w:pPr>
        <w:bidi w:val="0"/>
        <w:jc w:val="lowKashida"/>
        <w:rPr>
          <w:rFonts w:asciiTheme="majorBidi" w:hAnsiTheme="majorBidi" w:cstheme="majorBidi"/>
          <w:b/>
          <w:bCs/>
          <w:color w:val="365F91" w:themeColor="accent1" w:themeShade="BF"/>
          <w:sz w:val="24"/>
          <w:szCs w:val="24"/>
          <w:lang w:bidi="ar-IQ"/>
        </w:rPr>
      </w:pPr>
      <w:r w:rsidRPr="001F7980">
        <w:rPr>
          <w:rFonts w:asciiTheme="majorBidi" w:hAnsiTheme="majorBidi" w:cstheme="majorBidi"/>
          <w:b/>
          <w:bCs/>
          <w:color w:val="365F91" w:themeColor="accent1" w:themeShade="BF"/>
          <w:sz w:val="24"/>
          <w:szCs w:val="24"/>
          <w:lang w:bidi="ar-IQ"/>
        </w:rPr>
        <w:t>b) The ratio of the trading volume index of Iraqi Islamic banks to the total trading volume of the Iraqi financial market for the period (2004-2018):</w:t>
      </w:r>
    </w:p>
    <w:p w:rsidR="00C65222" w:rsidRPr="00C65222" w:rsidRDefault="00C65222" w:rsidP="00C65222">
      <w:pPr>
        <w:bidi w:val="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 xml:space="preserve">       Through table (4) it becomes clear to us the ratio of the contribution of the trading volume of the Iraqi Islamic banks to the total trading volume of the Iraq Stock Exchange.</w:t>
      </w:r>
    </w:p>
    <w:p w:rsidR="00C65222" w:rsidRPr="00C65222" w:rsidRDefault="00C65222" w:rsidP="00C65222">
      <w:pPr>
        <w:bidi w:val="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Table (4)</w:t>
      </w:r>
    </w:p>
    <w:p w:rsidR="00C65222" w:rsidRDefault="00C65222" w:rsidP="00C65222">
      <w:pPr>
        <w:bidi w:val="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The ratio of the trading volume index of the Iraqi Islamic banks to the total trading volume of the Iraqi financial market for the period (2004-2018):</w:t>
      </w:r>
    </w:p>
    <w:tbl>
      <w:tblPr>
        <w:tblStyle w:val="a4"/>
        <w:tblW w:w="0" w:type="auto"/>
        <w:jc w:val="center"/>
        <w:tblLook w:val="04A0"/>
      </w:tblPr>
      <w:tblGrid>
        <w:gridCol w:w="1211"/>
        <w:gridCol w:w="2880"/>
        <w:gridCol w:w="3240"/>
        <w:gridCol w:w="1365"/>
      </w:tblGrid>
      <w:tr w:rsidR="00C65222" w:rsidRPr="00C65222" w:rsidTr="00C65222">
        <w:trPr>
          <w:jc w:val="center"/>
        </w:trPr>
        <w:tc>
          <w:tcPr>
            <w:tcW w:w="1211" w:type="dxa"/>
            <w:vAlign w:val="center"/>
          </w:tcPr>
          <w:p w:rsidR="00C65222" w:rsidRPr="00C65222" w:rsidRDefault="00C65222"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Year</w:t>
            </w:r>
          </w:p>
        </w:tc>
        <w:tc>
          <w:tcPr>
            <w:tcW w:w="2880" w:type="dxa"/>
            <w:vAlign w:val="center"/>
          </w:tcPr>
          <w:p w:rsidR="00C65222" w:rsidRPr="00C65222" w:rsidRDefault="00C65222" w:rsidP="00C65222">
            <w:pPr>
              <w:jc w:val="center"/>
              <w:rPr>
                <w:rFonts w:asciiTheme="majorBidi" w:hAnsiTheme="majorBidi" w:cstheme="majorBidi"/>
                <w:b/>
                <w:bCs/>
                <w:sz w:val="24"/>
                <w:szCs w:val="24"/>
                <w:rtl/>
                <w:lang w:bidi="ar-IQ"/>
              </w:rPr>
            </w:pPr>
            <w:r w:rsidRPr="00C65222">
              <w:rPr>
                <w:rFonts w:asciiTheme="majorBidi" w:hAnsiTheme="majorBidi" w:cstheme="majorBidi"/>
                <w:b/>
                <w:bCs/>
                <w:sz w:val="24"/>
                <w:szCs w:val="24"/>
              </w:rPr>
              <w:t>Trading volume for Islamic banks (million dinars) (1)</w:t>
            </w:r>
          </w:p>
        </w:tc>
        <w:tc>
          <w:tcPr>
            <w:tcW w:w="3240" w:type="dxa"/>
            <w:vAlign w:val="center"/>
          </w:tcPr>
          <w:p w:rsidR="00C65222" w:rsidRPr="00C65222" w:rsidRDefault="00C65222" w:rsidP="00C65222">
            <w:pPr>
              <w:jc w:val="center"/>
              <w:rPr>
                <w:rFonts w:asciiTheme="majorBidi" w:hAnsiTheme="majorBidi" w:cstheme="majorBidi"/>
                <w:b/>
                <w:bCs/>
                <w:sz w:val="24"/>
                <w:szCs w:val="24"/>
                <w:lang w:bidi="ar-IQ"/>
              </w:rPr>
            </w:pPr>
            <w:r w:rsidRPr="00C65222">
              <w:rPr>
                <w:rFonts w:asciiTheme="majorBidi" w:hAnsiTheme="majorBidi" w:cstheme="majorBidi"/>
                <w:b/>
                <w:bCs/>
                <w:sz w:val="24"/>
                <w:szCs w:val="24"/>
              </w:rPr>
              <w:t>The trading volume of the total Iraqi stock exchange (million dinars) (2)</w:t>
            </w:r>
          </w:p>
        </w:tc>
        <w:tc>
          <w:tcPr>
            <w:tcW w:w="1365" w:type="dxa"/>
            <w:vAlign w:val="center"/>
          </w:tcPr>
          <w:p w:rsidR="00C65222" w:rsidRPr="00C65222" w:rsidRDefault="00C65222"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The percentage</w:t>
            </w:r>
          </w:p>
          <w:p w:rsidR="00C65222" w:rsidRPr="00C65222" w:rsidRDefault="00C65222" w:rsidP="00C65222">
            <w:pPr>
              <w:jc w:val="center"/>
              <w:rPr>
                <w:rFonts w:asciiTheme="majorBidi" w:hAnsiTheme="majorBidi" w:cstheme="majorBidi"/>
                <w:b/>
                <w:bCs/>
                <w:sz w:val="24"/>
                <w:szCs w:val="24"/>
              </w:rPr>
            </w:pPr>
            <w:r w:rsidRPr="00C65222">
              <w:rPr>
                <w:rFonts w:asciiTheme="majorBidi" w:hAnsiTheme="majorBidi" w:cstheme="majorBidi"/>
                <w:b/>
                <w:bCs/>
                <w:sz w:val="24"/>
                <w:szCs w:val="24"/>
              </w:rPr>
              <w:t>(%)</w:t>
            </w:r>
          </w:p>
          <w:p w:rsidR="00C65222" w:rsidRPr="00C65222" w:rsidRDefault="00C65222" w:rsidP="006F2D70">
            <w:pPr>
              <w:jc w:val="center"/>
              <w:rPr>
                <w:rFonts w:asciiTheme="majorBidi" w:hAnsiTheme="majorBidi" w:cstheme="majorBidi"/>
                <w:b/>
                <w:bCs/>
                <w:sz w:val="24"/>
                <w:szCs w:val="24"/>
              </w:rPr>
            </w:pPr>
            <w:r w:rsidRPr="00C65222">
              <w:rPr>
                <w:rFonts w:asciiTheme="majorBidi" w:hAnsiTheme="majorBidi" w:cstheme="majorBidi"/>
                <w:b/>
                <w:bCs/>
                <w:sz w:val="24"/>
                <w:szCs w:val="24"/>
                <w:rtl/>
              </w:rPr>
              <w:t xml:space="preserve">( 1 </w:t>
            </w:r>
            <w:r w:rsidR="006F2D70">
              <w:rPr>
                <w:rFonts w:asciiTheme="majorBidi" w:hAnsiTheme="majorBidi" w:cstheme="majorBidi"/>
                <w:b/>
                <w:bCs/>
                <w:sz w:val="24"/>
                <w:szCs w:val="24"/>
              </w:rPr>
              <w:t>/</w:t>
            </w:r>
            <w:r w:rsidRPr="00C65222">
              <w:rPr>
                <w:rFonts w:asciiTheme="majorBidi" w:hAnsiTheme="majorBidi" w:cstheme="majorBidi"/>
                <w:b/>
                <w:bCs/>
                <w:sz w:val="24"/>
                <w:szCs w:val="24"/>
                <w:rtl/>
              </w:rPr>
              <w:t xml:space="preserve"> 2 )</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hint="cs"/>
                <w:b/>
                <w:bCs/>
                <w:sz w:val="24"/>
                <w:szCs w:val="24"/>
                <w:rtl/>
                <w:lang w:bidi="ar-IQ"/>
              </w:rPr>
            </w:pPr>
            <w:r w:rsidRPr="00C65222">
              <w:rPr>
                <w:rFonts w:asciiTheme="majorBidi" w:hAnsiTheme="majorBidi" w:cstheme="majorBidi"/>
                <w:b/>
                <w:bCs/>
                <w:sz w:val="24"/>
                <w:szCs w:val="24"/>
                <w:rtl/>
                <w:lang w:bidi="ar-IQ"/>
              </w:rPr>
              <w:t>2004</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1174</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127951</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0.92</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2005</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15549</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lang w:bidi="ar-IQ"/>
              </w:rPr>
            </w:pPr>
            <w:r w:rsidRPr="00C65222">
              <w:rPr>
                <w:rFonts w:asciiTheme="majorBidi" w:hAnsiTheme="majorBidi" w:cstheme="majorBidi"/>
                <w:b/>
                <w:bCs/>
                <w:sz w:val="24"/>
                <w:szCs w:val="24"/>
                <w:rtl/>
                <w:lang w:bidi="ar-IQ"/>
              </w:rPr>
              <w:t>366809</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4.24</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2006</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11245</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146891</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7.66</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2007</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13347</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427367</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3.12</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lastRenderedPageBreak/>
              <w:t>2008</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11736</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301350</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3.89</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2009</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5815</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411929</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lang w:bidi="ar-IQ"/>
              </w:rPr>
            </w:pPr>
            <w:r w:rsidRPr="00C65222">
              <w:rPr>
                <w:rFonts w:asciiTheme="majorBidi" w:hAnsiTheme="majorBidi" w:cstheme="majorBidi"/>
                <w:b/>
                <w:bCs/>
                <w:sz w:val="24"/>
                <w:szCs w:val="24"/>
                <w:rtl/>
                <w:lang w:bidi="ar-IQ"/>
              </w:rPr>
              <w:t>1.41</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2010</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43549</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400360</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10.88</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2011</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49501</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941198</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5.26</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2012</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66024</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893825</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7.39</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2013</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201624</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2840220</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7.10</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2014</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216252</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898316</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24.07</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2015</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61115</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495112</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12.34</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2016</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41758</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515957</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8.09</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2017</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368249</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900154</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40.91</w:t>
            </w:r>
          </w:p>
        </w:tc>
      </w:tr>
      <w:tr w:rsidR="00C65222" w:rsidRPr="00C65222" w:rsidTr="00C65222">
        <w:trPr>
          <w:jc w:val="center"/>
        </w:trPr>
        <w:tc>
          <w:tcPr>
            <w:tcW w:w="1211"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2018</w:t>
            </w:r>
          </w:p>
        </w:tc>
        <w:tc>
          <w:tcPr>
            <w:tcW w:w="288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246996</w:t>
            </w:r>
          </w:p>
        </w:tc>
        <w:tc>
          <w:tcPr>
            <w:tcW w:w="3240"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466477</w:t>
            </w:r>
          </w:p>
        </w:tc>
        <w:tc>
          <w:tcPr>
            <w:tcW w:w="1365" w:type="dxa"/>
            <w:vAlign w:val="center"/>
          </w:tcPr>
          <w:p w:rsidR="00C65222" w:rsidRPr="00C65222" w:rsidRDefault="00C65222" w:rsidP="00C65222">
            <w:pPr>
              <w:tabs>
                <w:tab w:val="left" w:pos="6368"/>
              </w:tabs>
              <w:spacing w:line="360" w:lineRule="auto"/>
              <w:jc w:val="center"/>
              <w:rPr>
                <w:rFonts w:asciiTheme="majorBidi" w:hAnsiTheme="majorBidi" w:cstheme="majorBidi"/>
                <w:b/>
                <w:bCs/>
                <w:sz w:val="24"/>
                <w:szCs w:val="24"/>
                <w:rtl/>
                <w:lang w:bidi="ar-IQ"/>
              </w:rPr>
            </w:pPr>
            <w:r w:rsidRPr="00C65222">
              <w:rPr>
                <w:rFonts w:asciiTheme="majorBidi" w:hAnsiTheme="majorBidi" w:cstheme="majorBidi"/>
                <w:b/>
                <w:bCs/>
                <w:sz w:val="24"/>
                <w:szCs w:val="24"/>
                <w:rtl/>
                <w:lang w:bidi="ar-IQ"/>
              </w:rPr>
              <w:t>52.95</w:t>
            </w:r>
          </w:p>
        </w:tc>
      </w:tr>
    </w:tbl>
    <w:p w:rsidR="00C65222" w:rsidRPr="00C65222" w:rsidRDefault="00C65222" w:rsidP="00C65222">
      <w:pPr>
        <w:bidi w:val="0"/>
        <w:jc w:val="lowKashida"/>
        <w:rPr>
          <w:rFonts w:asciiTheme="majorBidi" w:hAnsiTheme="majorBidi" w:cstheme="majorBidi"/>
          <w:sz w:val="6"/>
          <w:szCs w:val="6"/>
          <w:lang w:bidi="ar-IQ"/>
        </w:rPr>
      </w:pPr>
    </w:p>
    <w:p w:rsidR="00C65222" w:rsidRPr="00C65222" w:rsidRDefault="00C65222" w:rsidP="009B4DC8">
      <w:pPr>
        <w:bidi w:val="0"/>
        <w:spacing w:after="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Source / Annual Bulletin of the Iraq Stock Exchange for the period (2004-2018).</w:t>
      </w:r>
    </w:p>
    <w:p w:rsidR="00C65222" w:rsidRDefault="00C65222" w:rsidP="009B4DC8">
      <w:pPr>
        <w:bidi w:val="0"/>
        <w:spacing w:after="0"/>
        <w:jc w:val="lowKashida"/>
        <w:rPr>
          <w:rFonts w:asciiTheme="majorBidi" w:hAnsiTheme="majorBidi" w:cstheme="majorBidi"/>
          <w:sz w:val="24"/>
          <w:szCs w:val="24"/>
          <w:lang w:bidi="ar-IQ"/>
        </w:rPr>
      </w:pPr>
      <w:r w:rsidRPr="00C65222">
        <w:rPr>
          <w:rFonts w:asciiTheme="majorBidi" w:hAnsiTheme="majorBidi" w:cstheme="majorBidi"/>
          <w:sz w:val="24"/>
          <w:szCs w:val="24"/>
          <w:lang w:bidi="ar-IQ"/>
        </w:rPr>
        <w:t>Percentage of the researcher's work</w:t>
      </w:r>
      <w:r w:rsidR="009B4DC8">
        <w:rPr>
          <w:rFonts w:asciiTheme="majorBidi" w:hAnsiTheme="majorBidi" w:cstheme="majorBidi"/>
          <w:sz w:val="24"/>
          <w:szCs w:val="24"/>
          <w:lang w:bidi="ar-IQ"/>
        </w:rPr>
        <w:t xml:space="preserve"> .</w:t>
      </w:r>
    </w:p>
    <w:p w:rsidR="009B4DC8" w:rsidRDefault="009B4DC8" w:rsidP="009B4DC8">
      <w:pPr>
        <w:bidi w:val="0"/>
        <w:spacing w:after="0"/>
        <w:jc w:val="lowKashida"/>
        <w:rPr>
          <w:rFonts w:asciiTheme="majorBidi" w:hAnsiTheme="majorBidi" w:cstheme="majorBidi"/>
          <w:sz w:val="24"/>
          <w:szCs w:val="24"/>
          <w:lang w:bidi="ar-IQ"/>
        </w:rPr>
      </w:pPr>
    </w:p>
    <w:p w:rsidR="00C65222" w:rsidRDefault="009B4DC8" w:rsidP="009B4DC8">
      <w:pPr>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 xml:space="preserve">Where we note that the ratio is unstable and was characterized by fluctuation between rise and fall during the studied period, as the ratio amounted to (0.92%) in 2004, and reached (5.26%) in 2011, then in 2018 the increase continued further as </w:t>
      </w:r>
      <w:r>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the ratio reached (52.95%)</w:t>
      </w:r>
      <w:r w:rsidR="002B014D">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w:t>
      </w:r>
    </w:p>
    <w:p w:rsidR="002B014D" w:rsidRPr="00022949" w:rsidRDefault="002B014D" w:rsidP="002B014D">
      <w:pPr>
        <w:bidi w:val="0"/>
        <w:jc w:val="mediumKashida"/>
        <w:rPr>
          <w:rFonts w:asciiTheme="majorBidi" w:hAnsiTheme="majorBidi" w:cstheme="majorBidi"/>
          <w:sz w:val="2"/>
          <w:szCs w:val="2"/>
          <w:lang w:bidi="ar-IQ"/>
        </w:rPr>
      </w:pPr>
    </w:p>
    <w:p w:rsidR="002B014D" w:rsidRPr="001F7980" w:rsidRDefault="002B014D" w:rsidP="00E04F57">
      <w:pPr>
        <w:bidi w:val="0"/>
        <w:spacing w:after="0"/>
        <w:rPr>
          <w:rFonts w:asciiTheme="majorBidi" w:hAnsiTheme="majorBidi" w:cstheme="majorBidi"/>
          <w:b/>
          <w:bCs/>
          <w:color w:val="FF0000"/>
          <w:sz w:val="28"/>
          <w:szCs w:val="28"/>
          <w:lang w:bidi="ar-IQ"/>
        </w:rPr>
      </w:pPr>
      <w:r w:rsidRPr="001F7980">
        <w:rPr>
          <w:rFonts w:asciiTheme="majorBidi" w:hAnsiTheme="majorBidi" w:cstheme="majorBidi"/>
          <w:b/>
          <w:bCs/>
          <w:color w:val="FF0000"/>
          <w:sz w:val="28"/>
          <w:szCs w:val="28"/>
          <w:lang w:bidi="ar-IQ"/>
        </w:rPr>
        <w:t>The third topic</w:t>
      </w:r>
      <w:r w:rsidR="003B4517">
        <w:rPr>
          <w:rFonts w:asciiTheme="majorBidi" w:hAnsiTheme="majorBidi" w:cstheme="majorBidi"/>
          <w:b/>
          <w:bCs/>
          <w:color w:val="FF0000"/>
          <w:sz w:val="28"/>
          <w:szCs w:val="28"/>
          <w:lang w:bidi="ar-IQ"/>
        </w:rPr>
        <w:t xml:space="preserve"> </w:t>
      </w:r>
    </w:p>
    <w:p w:rsidR="002B014D" w:rsidRPr="001F7980" w:rsidRDefault="002B014D" w:rsidP="00E04F57">
      <w:pPr>
        <w:bidi w:val="0"/>
        <w:spacing w:after="0"/>
        <w:rPr>
          <w:rFonts w:asciiTheme="majorBidi" w:hAnsiTheme="majorBidi" w:cstheme="majorBidi"/>
          <w:b/>
          <w:bCs/>
          <w:color w:val="FF0000"/>
          <w:sz w:val="28"/>
          <w:szCs w:val="28"/>
          <w:lang w:bidi="ar-IQ"/>
        </w:rPr>
      </w:pPr>
      <w:r w:rsidRPr="001F7980">
        <w:rPr>
          <w:rFonts w:asciiTheme="majorBidi" w:hAnsiTheme="majorBidi" w:cstheme="majorBidi"/>
          <w:b/>
          <w:bCs/>
          <w:color w:val="FF0000"/>
          <w:sz w:val="28"/>
          <w:szCs w:val="28"/>
          <w:lang w:bidi="ar-IQ"/>
        </w:rPr>
        <w:t>The impact of Iraqi Islamic banks on the Iraqi market</w:t>
      </w:r>
    </w:p>
    <w:p w:rsidR="002B014D" w:rsidRDefault="00CB01F7" w:rsidP="001F2DDE">
      <w:pPr>
        <w:bidi w:val="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In this section of the study, in which we address the use of statistical analysis of the data collected by the researcher, as descriptive and inferential statistical methods were used for the purpose of describing the relationship between variables and building a model to describe this relationship</w:t>
      </w:r>
      <w:r w:rsidR="001F2DDE">
        <w:rPr>
          <w:rFonts w:asciiTheme="majorBidi" w:hAnsiTheme="majorBidi" w:cstheme="majorBidi"/>
          <w:sz w:val="24"/>
          <w:szCs w:val="24"/>
          <w:lang w:bidi="ar-IQ"/>
        </w:rPr>
        <w:t>.</w:t>
      </w:r>
    </w:p>
    <w:p w:rsidR="001F2DDE" w:rsidRDefault="001F2DDE" w:rsidP="001F2DDE">
      <w:pPr>
        <w:bidi w:val="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1F2DDE">
        <w:rPr>
          <w:rFonts w:asciiTheme="majorBidi" w:hAnsiTheme="majorBidi" w:cstheme="majorBidi"/>
          <w:sz w:val="24"/>
          <w:szCs w:val="24"/>
          <w:lang w:bidi="ar-IQ"/>
        </w:rPr>
        <w:t>Where the statistical program (22SPSS) was used to calculate the following statistical indicators:</w:t>
      </w:r>
    </w:p>
    <w:tbl>
      <w:tblPr>
        <w:bidiVisual/>
        <w:tblW w:w="4897" w:type="pct"/>
        <w:jc w:val="center"/>
        <w:tblInd w:w="-816" w:type="dxa"/>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00"/>
      </w:tblPr>
      <w:tblGrid>
        <w:gridCol w:w="6429"/>
        <w:gridCol w:w="2623"/>
      </w:tblGrid>
      <w:tr w:rsidR="001F2DDE" w:rsidRPr="00885F97" w:rsidTr="001F2DDE">
        <w:trPr>
          <w:trHeight w:val="313"/>
          <w:jc w:val="center"/>
        </w:trPr>
        <w:tc>
          <w:tcPr>
            <w:tcW w:w="3551" w:type="pct"/>
            <w:shd w:val="clear" w:color="auto" w:fill="F2DBDB" w:themeFill="accent2" w:themeFillTint="33"/>
            <w:vAlign w:val="center"/>
          </w:tcPr>
          <w:p w:rsidR="001F2DDE" w:rsidRPr="00885F97" w:rsidRDefault="001F2DDE" w:rsidP="001F2DDE">
            <w:pPr>
              <w:pStyle w:val="1"/>
              <w:bidi/>
              <w:spacing w:after="0" w:line="240" w:lineRule="auto"/>
              <w:jc w:val="center"/>
              <w:rPr>
                <w:rFonts w:ascii="Times New Roman" w:hAnsi="Times New Roman" w:cs="Times New Roman"/>
                <w:b/>
                <w:sz w:val="28"/>
                <w:szCs w:val="28"/>
                <w:rtl/>
                <w:lang w:bidi="ar-IQ"/>
              </w:rPr>
            </w:pPr>
            <w:r>
              <w:rPr>
                <w:rFonts w:ascii="Times New Roman" w:hAnsi="Times New Roman" w:cs="Times New Roman"/>
                <w:b/>
                <w:sz w:val="28"/>
                <w:szCs w:val="28"/>
              </w:rPr>
              <w:t>T</w:t>
            </w:r>
            <w:r w:rsidRPr="001F2DDE">
              <w:rPr>
                <w:rFonts w:ascii="Times New Roman" w:hAnsi="Times New Roman" w:cs="Times New Roman"/>
                <w:b/>
                <w:sz w:val="28"/>
                <w:szCs w:val="28"/>
              </w:rPr>
              <w:t xml:space="preserve">he </w:t>
            </w:r>
            <w:r>
              <w:rPr>
                <w:rFonts w:ascii="Times New Roman" w:hAnsi="Times New Roman" w:cs="Times New Roman"/>
                <w:b/>
                <w:sz w:val="28"/>
                <w:szCs w:val="28"/>
              </w:rPr>
              <w:t>D</w:t>
            </w:r>
            <w:r w:rsidRPr="001F2DDE">
              <w:rPr>
                <w:rFonts w:ascii="Times New Roman" w:hAnsi="Times New Roman" w:cs="Times New Roman"/>
                <w:b/>
                <w:sz w:val="28"/>
                <w:szCs w:val="28"/>
              </w:rPr>
              <w:t>etails</w:t>
            </w:r>
          </w:p>
        </w:tc>
        <w:tc>
          <w:tcPr>
            <w:tcW w:w="1449" w:type="pct"/>
            <w:shd w:val="clear" w:color="auto" w:fill="F2DBDB" w:themeFill="accent2" w:themeFillTint="33"/>
            <w:vAlign w:val="center"/>
          </w:tcPr>
          <w:p w:rsidR="001F2DDE" w:rsidRPr="00885F97" w:rsidRDefault="001F2DDE" w:rsidP="0049605E">
            <w:pPr>
              <w:pStyle w:val="1"/>
              <w:bidi/>
              <w:spacing w:after="0" w:line="240" w:lineRule="auto"/>
              <w:jc w:val="center"/>
              <w:rPr>
                <w:rFonts w:ascii="Times New Roman" w:hAnsi="Times New Roman" w:cs="Times New Roman"/>
                <w:b/>
                <w:sz w:val="28"/>
                <w:szCs w:val="28"/>
              </w:rPr>
            </w:pPr>
            <w:r w:rsidRPr="001F2DDE">
              <w:rPr>
                <w:rFonts w:ascii="Times New Roman" w:hAnsi="Times New Roman" w:cs="Times New Roman"/>
                <w:b/>
                <w:sz w:val="28"/>
                <w:szCs w:val="28"/>
              </w:rPr>
              <w:t>Statistical indicator</w:t>
            </w:r>
          </w:p>
        </w:tc>
      </w:tr>
      <w:tr w:rsidR="001F2DDE" w:rsidRPr="00885F97" w:rsidTr="001F2DDE">
        <w:trPr>
          <w:trHeight w:val="294"/>
          <w:jc w:val="center"/>
        </w:trPr>
        <w:tc>
          <w:tcPr>
            <w:tcW w:w="3551"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Pr>
            </w:pPr>
            <w:r w:rsidRPr="001F2DDE">
              <w:rPr>
                <w:rFonts w:ascii="Times New Roman" w:hAnsi="Times New Roman" w:cs="Times New Roman"/>
                <w:sz w:val="28"/>
                <w:szCs w:val="28"/>
              </w:rPr>
              <w:t>The coefficient of determination</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vertAlign w:val="superscript"/>
              </w:rPr>
            </w:pPr>
            <w:r w:rsidRPr="00885F97">
              <w:rPr>
                <w:rFonts w:ascii="Times New Roman" w:hAnsi="Times New Roman" w:cs="Times New Roman"/>
                <w:sz w:val="28"/>
                <w:szCs w:val="28"/>
              </w:rPr>
              <w:t>R</w:t>
            </w:r>
            <w:r w:rsidRPr="00885F97">
              <w:rPr>
                <w:rFonts w:ascii="Times New Roman" w:hAnsi="Times New Roman" w:cs="Times New Roman"/>
                <w:sz w:val="28"/>
                <w:szCs w:val="28"/>
                <w:vertAlign w:val="superscript"/>
              </w:rPr>
              <w:t>2</w:t>
            </w:r>
          </w:p>
        </w:tc>
      </w:tr>
      <w:tr w:rsidR="001F2DDE" w:rsidRPr="00885F97" w:rsidTr="001F2DDE">
        <w:trPr>
          <w:trHeight w:val="313"/>
          <w:jc w:val="center"/>
        </w:trPr>
        <w:tc>
          <w:tcPr>
            <w:tcW w:w="3551" w:type="pct"/>
            <w:vAlign w:val="center"/>
          </w:tcPr>
          <w:p w:rsidR="001F2DDE" w:rsidRDefault="001F2DDE" w:rsidP="0049605E">
            <w:pPr>
              <w:pStyle w:val="1"/>
              <w:bidi/>
              <w:spacing w:after="0" w:line="240" w:lineRule="auto"/>
              <w:jc w:val="center"/>
              <w:rPr>
                <w:rFonts w:ascii="Times New Roman" w:hAnsi="Times New Roman" w:cs="Times New Roman"/>
                <w:sz w:val="28"/>
                <w:szCs w:val="28"/>
              </w:rPr>
            </w:pPr>
            <w:r w:rsidRPr="001F2DDE">
              <w:rPr>
                <w:rFonts w:ascii="Times New Roman" w:hAnsi="Times New Roman" w:cs="Times New Roman"/>
                <w:sz w:val="28"/>
                <w:szCs w:val="28"/>
              </w:rPr>
              <w:t xml:space="preserve">It is used to test the significance of </w:t>
            </w:r>
          </w:p>
          <w:p w:rsidR="001F2DDE" w:rsidRPr="00885F97" w:rsidRDefault="001F2DDE" w:rsidP="001F2DDE">
            <w:pPr>
              <w:pStyle w:val="1"/>
              <w:bidi/>
              <w:spacing w:after="0" w:line="240" w:lineRule="auto"/>
              <w:jc w:val="center"/>
              <w:rPr>
                <w:rFonts w:ascii="Times New Roman" w:hAnsi="Times New Roman" w:cs="Times New Roman"/>
                <w:sz w:val="28"/>
                <w:szCs w:val="28"/>
                <w:rtl/>
                <w:lang w:bidi="ar-IQ"/>
              </w:rPr>
            </w:pPr>
            <w:r w:rsidRPr="001F2DDE">
              <w:rPr>
                <w:rFonts w:ascii="Times New Roman" w:hAnsi="Times New Roman" w:cs="Times New Roman"/>
                <w:sz w:val="28"/>
                <w:szCs w:val="28"/>
              </w:rPr>
              <w:t>the studied linear relationship</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tl/>
                <w:lang w:bidi="ar-IQ"/>
              </w:rPr>
            </w:pPr>
            <w:r w:rsidRPr="00885F97">
              <w:rPr>
                <w:rFonts w:ascii="Times New Roman" w:hAnsi="Times New Roman" w:cs="Times New Roman"/>
                <w:sz w:val="28"/>
                <w:szCs w:val="28"/>
              </w:rPr>
              <w:t>F</w:t>
            </w:r>
          </w:p>
        </w:tc>
      </w:tr>
      <w:tr w:rsidR="001F2DDE" w:rsidRPr="00885F97" w:rsidTr="001F2DDE">
        <w:trPr>
          <w:trHeight w:val="313"/>
          <w:jc w:val="center"/>
        </w:trPr>
        <w:tc>
          <w:tcPr>
            <w:tcW w:w="3551"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tl/>
                <w:lang w:bidi="ar-IQ"/>
              </w:rPr>
            </w:pPr>
            <w:r w:rsidRPr="001F2DDE">
              <w:rPr>
                <w:rFonts w:ascii="Times New Roman" w:hAnsi="Times New Roman" w:cs="Times New Roman"/>
                <w:sz w:val="28"/>
                <w:szCs w:val="28"/>
              </w:rPr>
              <w:t>It is used to test the significance of the independent effect on the dependent variable</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tl/>
                <w:lang w:bidi="ar-IQ"/>
              </w:rPr>
            </w:pPr>
            <w:r w:rsidRPr="00885F97">
              <w:rPr>
                <w:rFonts w:ascii="Times New Roman" w:hAnsi="Times New Roman" w:cs="Times New Roman"/>
                <w:sz w:val="28"/>
                <w:szCs w:val="28"/>
              </w:rPr>
              <w:t>T</w:t>
            </w:r>
          </w:p>
        </w:tc>
      </w:tr>
      <w:tr w:rsidR="001F2DDE" w:rsidRPr="00885F97" w:rsidTr="001F2DDE">
        <w:trPr>
          <w:trHeight w:val="313"/>
          <w:jc w:val="center"/>
        </w:trPr>
        <w:tc>
          <w:tcPr>
            <w:tcW w:w="3551" w:type="pct"/>
            <w:vAlign w:val="center"/>
          </w:tcPr>
          <w:p w:rsidR="001F2DDE" w:rsidRPr="00885F97" w:rsidRDefault="00AE0C7B" w:rsidP="00AE0C7B">
            <w:pPr>
              <w:pStyle w:val="1"/>
              <w:bidi/>
              <w:spacing w:after="0" w:line="240" w:lineRule="auto"/>
              <w:jc w:val="center"/>
              <w:rPr>
                <w:rFonts w:ascii="Times New Roman" w:hAnsi="Times New Roman" w:cs="Times New Roman"/>
                <w:sz w:val="28"/>
                <w:szCs w:val="28"/>
                <w:rtl/>
                <w:lang w:bidi="ar-IQ"/>
              </w:rPr>
            </w:pPr>
            <w:r>
              <w:rPr>
                <w:rFonts w:ascii="Times New Roman" w:hAnsi="Times New Roman" w:cs="Times New Roman"/>
                <w:sz w:val="28"/>
                <w:szCs w:val="28"/>
              </w:rPr>
              <w:t>E</w:t>
            </w:r>
            <w:r w:rsidR="001F2DDE" w:rsidRPr="001F2DDE">
              <w:rPr>
                <w:rFonts w:ascii="Times New Roman" w:hAnsi="Times New Roman" w:cs="Times New Roman"/>
                <w:sz w:val="28"/>
                <w:szCs w:val="28"/>
              </w:rPr>
              <w:t xml:space="preserve">stimated </w:t>
            </w:r>
            <w:r>
              <w:rPr>
                <w:rFonts w:ascii="Times New Roman" w:hAnsi="Times New Roman" w:cs="Times New Roman"/>
                <w:sz w:val="28"/>
                <w:szCs w:val="28"/>
              </w:rPr>
              <w:t>P</w:t>
            </w:r>
            <w:r w:rsidR="001F2DDE" w:rsidRPr="001F2DDE">
              <w:rPr>
                <w:rFonts w:ascii="Times New Roman" w:hAnsi="Times New Roman" w:cs="Times New Roman"/>
                <w:sz w:val="28"/>
                <w:szCs w:val="28"/>
              </w:rPr>
              <w:t>arameter</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tl/>
                <w:lang w:bidi="ar-IQ"/>
              </w:rPr>
            </w:pPr>
            <m:oMathPara>
              <m:oMath>
                <m:r>
                  <w:rPr>
                    <w:rFonts w:ascii="Cambria Math" w:eastAsia="Cambria Math" w:hAnsi="Cambria Math" w:cs="Times New Roman"/>
                    <w:sz w:val="28"/>
                    <w:szCs w:val="28"/>
                  </w:rPr>
                  <m:t>β</m:t>
                </m:r>
              </m:oMath>
            </m:oMathPara>
          </w:p>
        </w:tc>
      </w:tr>
      <w:tr w:rsidR="001F2DDE" w:rsidRPr="00885F97" w:rsidTr="001F2DDE">
        <w:trPr>
          <w:trHeight w:val="313"/>
          <w:jc w:val="center"/>
        </w:trPr>
        <w:tc>
          <w:tcPr>
            <w:tcW w:w="3551" w:type="pct"/>
            <w:vAlign w:val="center"/>
          </w:tcPr>
          <w:p w:rsidR="001F2DDE" w:rsidRPr="00885F97" w:rsidRDefault="0049605E" w:rsidP="0049605E">
            <w:pPr>
              <w:pStyle w:val="1"/>
              <w:bidi/>
              <w:spacing w:after="0" w:line="240" w:lineRule="auto"/>
              <w:jc w:val="center"/>
              <w:rPr>
                <w:rFonts w:ascii="Times New Roman" w:hAnsi="Times New Roman" w:cs="Times New Roman"/>
                <w:sz w:val="28"/>
                <w:szCs w:val="28"/>
              </w:rPr>
            </w:pPr>
            <w:r w:rsidRPr="0049605E">
              <w:rPr>
                <w:rFonts w:ascii="Times New Roman" w:hAnsi="Times New Roman" w:cs="Times New Roman"/>
                <w:sz w:val="28"/>
                <w:szCs w:val="28"/>
              </w:rPr>
              <w:t>The standard error of the estimated parameter</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Pr>
            </w:pPr>
            <w:r w:rsidRPr="00885F97">
              <w:rPr>
                <w:rFonts w:ascii="Times New Roman" w:hAnsi="Times New Roman" w:cs="Times New Roman"/>
                <w:sz w:val="28"/>
                <w:szCs w:val="28"/>
              </w:rPr>
              <w:t>S. Error</w:t>
            </w:r>
          </w:p>
        </w:tc>
      </w:tr>
      <w:tr w:rsidR="001F2DDE" w:rsidRPr="00885F97" w:rsidTr="001F2DDE">
        <w:trPr>
          <w:trHeight w:val="313"/>
          <w:jc w:val="center"/>
        </w:trPr>
        <w:tc>
          <w:tcPr>
            <w:tcW w:w="3551" w:type="pct"/>
            <w:vAlign w:val="center"/>
          </w:tcPr>
          <w:p w:rsidR="001F2DDE" w:rsidRPr="00885F97" w:rsidRDefault="0049605E" w:rsidP="0049605E">
            <w:pPr>
              <w:pStyle w:val="1"/>
              <w:bidi/>
              <w:spacing w:after="0" w:line="240" w:lineRule="auto"/>
              <w:jc w:val="center"/>
              <w:rPr>
                <w:rFonts w:ascii="Times New Roman" w:hAnsi="Times New Roman" w:cs="Times New Roman"/>
                <w:sz w:val="28"/>
                <w:szCs w:val="28"/>
                <w:rtl/>
                <w:lang w:bidi="ar-IQ"/>
              </w:rPr>
            </w:pPr>
            <w:r w:rsidRPr="0049605E">
              <w:rPr>
                <w:rFonts w:ascii="Times New Roman" w:hAnsi="Times New Roman" w:cs="Times New Roman"/>
                <w:sz w:val="28"/>
                <w:szCs w:val="28"/>
              </w:rPr>
              <w:t>Indicates the level of morale</w:t>
            </w:r>
          </w:p>
        </w:tc>
        <w:tc>
          <w:tcPr>
            <w:tcW w:w="1449" w:type="pct"/>
            <w:vAlign w:val="center"/>
          </w:tcPr>
          <w:p w:rsidR="001F2DDE" w:rsidRPr="00885F97" w:rsidRDefault="001F2DDE" w:rsidP="0049605E">
            <w:pPr>
              <w:pStyle w:val="1"/>
              <w:bidi/>
              <w:spacing w:after="0" w:line="240" w:lineRule="auto"/>
              <w:jc w:val="center"/>
              <w:rPr>
                <w:rFonts w:ascii="Times New Roman" w:hAnsi="Times New Roman" w:cs="Times New Roman"/>
                <w:sz w:val="28"/>
                <w:szCs w:val="28"/>
              </w:rPr>
            </w:pPr>
            <w:r w:rsidRPr="00885F97">
              <w:rPr>
                <w:rFonts w:ascii="Times New Roman" w:hAnsi="Times New Roman" w:cs="Times New Roman"/>
                <w:sz w:val="28"/>
                <w:szCs w:val="28"/>
              </w:rPr>
              <w:t>Sig.</w:t>
            </w:r>
          </w:p>
        </w:tc>
      </w:tr>
    </w:tbl>
    <w:p w:rsidR="002B014D" w:rsidRPr="00AE0C7B" w:rsidRDefault="00AE0C7B" w:rsidP="002B014D">
      <w:pPr>
        <w:bidi w:val="0"/>
        <w:jc w:val="mediumKashida"/>
        <w:rPr>
          <w:rFonts w:asciiTheme="majorBidi" w:hAnsiTheme="majorBidi" w:cstheme="majorBidi"/>
          <w:sz w:val="2"/>
          <w:szCs w:val="2"/>
          <w:rtl/>
          <w:lang w:bidi="ar-IQ"/>
        </w:rPr>
      </w:pPr>
      <w:r w:rsidRPr="00AE0C7B">
        <w:rPr>
          <w:rFonts w:asciiTheme="majorBidi" w:hAnsiTheme="majorBidi" w:cstheme="majorBidi"/>
          <w:lang w:bidi="ar-IQ"/>
        </w:rPr>
        <w:t>The statistical indicators can be calculated from the following formulas: (Al-Rawi, 1987)</w:t>
      </w:r>
    </w:p>
    <w:p w:rsidR="00AE0C7B" w:rsidRPr="00DA2AA8" w:rsidRDefault="009E291D" w:rsidP="00AE0C7B">
      <w:pPr>
        <w:pStyle w:val="normal"/>
        <w:spacing w:after="0" w:line="360" w:lineRule="auto"/>
        <w:jc w:val="center"/>
        <w:rPr>
          <w:rFonts w:asciiTheme="majorBidi" w:hAnsiTheme="majorBidi" w:cstheme="majorBidi"/>
          <w:b/>
          <w:bCs/>
          <w:sz w:val="28"/>
          <w:szCs w:val="28"/>
        </w:rPr>
      </w:pPr>
      <m:oMathPara>
        <m:oMath>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r>
                <m:rPr>
                  <m:sty m:val="bi"/>
                </m:rPr>
                <w:rPr>
                  <w:rFonts w:ascii="Cambria Math" w:eastAsia="Cambria Math" w:hAnsi="Cambria Math" w:cs="Cambria Math"/>
                  <w:color w:val="FFFFFF" w:themeColor="background1"/>
                  <w:sz w:val="28"/>
                  <w:szCs w:val="28"/>
                </w:rPr>
                <m:t xml:space="preserve"> </m:t>
              </m:r>
            </m:e>
          </m:bar>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nary>
                <m:naryPr>
                  <m:chr m:val="∑"/>
                  <m:ctrlPr>
                    <w:rPr>
                      <w:rFonts w:ascii="Cambria Math" w:eastAsia="Cambria Math" w:hAnsi="Cambria Math" w:cs="Cambria Math"/>
                      <w:b/>
                      <w:bCs/>
                      <w:sz w:val="28"/>
                      <w:szCs w:val="28"/>
                    </w:rPr>
                  </m:ctrlPr>
                </m:naryPr>
                <m:sub>
                  <m:r>
                    <m:rPr>
                      <m:sty m:val="bi"/>
                    </m:rPr>
                    <w:rPr>
                      <w:rFonts w:ascii="Cambria Math" w:eastAsia="Cambria Math" w:hAnsi="Cambria Math" w:cs="Cambria Math"/>
                      <w:sz w:val="28"/>
                      <w:szCs w:val="28"/>
                    </w:rPr>
                    <m:t>i=1</m:t>
                  </m:r>
                </m:sub>
                <m:sup>
                  <m:r>
                    <m:rPr>
                      <m:sty m:val="bi"/>
                    </m:rPr>
                    <w:rPr>
                      <w:rFonts w:ascii="Cambria Math" w:eastAsia="Cambria Math" w:hAnsi="Cambria Math" w:cs="Cambria Math"/>
                      <w:sz w:val="28"/>
                      <w:szCs w:val="28"/>
                    </w:rPr>
                    <m:t>n</m:t>
                  </m:r>
                </m:sup>
                <m:e>
                  <m:r>
                    <m:rPr>
                      <m:sty m:val="b"/>
                    </m:rPr>
                    <w:rPr>
                      <w:rFonts w:ascii="Cambria Math" w:eastAsia="Cambria Math" w:hAnsi="Cambria Math" w:cs="Cambria Math"/>
                      <w:sz w:val="28"/>
                      <w:szCs w:val="28"/>
                    </w:rPr>
                    <m:t xml:space="preserve"> </m:t>
                  </m:r>
                </m:e>
              </m:nary>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i</m:t>
                  </m:r>
                </m:sub>
              </m:sSub>
            </m:num>
            <m:den>
              <m:r>
                <m:rPr>
                  <m:sty m:val="bi"/>
                </m:rPr>
                <w:rPr>
                  <w:rFonts w:ascii="Cambria Math" w:eastAsia="Cambria Math" w:hAnsi="Cambria Math" w:cs="Cambria Math"/>
                  <w:sz w:val="28"/>
                  <w:szCs w:val="28"/>
                </w:rPr>
                <m:t>n</m:t>
              </m:r>
            </m:den>
          </m:f>
        </m:oMath>
      </m:oMathPara>
    </w:p>
    <w:p w:rsidR="00AE0C7B" w:rsidRPr="003639AB" w:rsidRDefault="00AE0C7B" w:rsidP="00AE0C7B">
      <w:pPr>
        <w:pStyle w:val="normal"/>
        <w:tabs>
          <w:tab w:val="left" w:pos="5650"/>
        </w:tabs>
        <w:bidi/>
        <w:spacing w:after="0" w:line="360" w:lineRule="auto"/>
        <w:jc w:val="center"/>
        <w:rPr>
          <w:rFonts w:asciiTheme="majorBidi" w:hAnsiTheme="majorBidi" w:cstheme="majorBidi" w:hint="cs"/>
          <w:b/>
          <w:bCs/>
          <w:sz w:val="4"/>
          <w:szCs w:val="4"/>
          <w:lang w:bidi="ar-IQ"/>
        </w:rPr>
      </w:pPr>
    </w:p>
    <w:p w:rsidR="00AE0C7B" w:rsidRDefault="009E291D" w:rsidP="00AE0C7B">
      <w:pPr>
        <w:pStyle w:val="normal"/>
        <w:tabs>
          <w:tab w:val="left" w:pos="5650"/>
        </w:tabs>
        <w:bidi/>
        <w:spacing w:after="0" w:line="360" w:lineRule="auto"/>
        <w:jc w:val="center"/>
        <w:rPr>
          <w:rFonts w:asciiTheme="majorBidi" w:hAnsiTheme="majorBidi" w:cstheme="majorBidi"/>
          <w:b/>
          <w:bCs/>
          <w:sz w:val="28"/>
          <w:szCs w:val="28"/>
          <w:rtl/>
          <w:lang w:bidi="ar-IQ"/>
        </w:rPr>
      </w:pPr>
      <m:oMathPara>
        <m:oMath>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S</m:t>
              </m:r>
              <m:ctrlPr>
                <w:rPr>
                  <w:rFonts w:ascii="Cambria Math" w:eastAsia="Cambria Math" w:hAnsi="Cambria Math" w:cs="Cambria Math"/>
                  <w:b/>
                  <w:bCs/>
                  <w:i/>
                  <w:sz w:val="28"/>
                  <w:szCs w:val="28"/>
                </w:rPr>
              </m:ctrlPr>
            </m:e>
            <m:sup>
              <m:r>
                <m:rPr>
                  <m:sty m:val="bi"/>
                </m:rPr>
                <w:rPr>
                  <w:rFonts w:ascii="Cambria Math" w:eastAsia="Cambria Math" w:hAnsi="Cambria Math" w:cs="Cambria Math"/>
                  <w:sz w:val="28"/>
                  <w:szCs w:val="28"/>
                </w:rPr>
                <m:t>2</m:t>
              </m:r>
              <m:ctrlPr>
                <w:rPr>
                  <w:rFonts w:ascii="Cambria Math" w:eastAsia="Cambria Math" w:hAnsi="Cambria Math" w:cs="Cambria Math"/>
                  <w:b/>
                  <w:bCs/>
                  <w:i/>
                  <w:sz w:val="28"/>
                  <w:szCs w:val="28"/>
                </w:rPr>
              </m:ctrlPr>
            </m:sup>
          </m:sSup>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nary>
                <m:naryPr>
                  <m:chr m:val="∑"/>
                  <m:ctrlPr>
                    <w:rPr>
                      <w:rFonts w:ascii="Cambria Math" w:eastAsia="Cambria Math" w:hAnsi="Cambria Math" w:cs="Cambria Math"/>
                      <w:b/>
                      <w:bCs/>
                      <w:sz w:val="28"/>
                      <w:szCs w:val="28"/>
                    </w:rPr>
                  </m:ctrlPr>
                </m:naryPr>
                <m:sub>
                  <m:r>
                    <m:rPr>
                      <m:sty m:val="bi"/>
                    </m:rPr>
                    <w:rPr>
                      <w:rFonts w:ascii="Cambria Math" w:eastAsia="Cambria Math" w:hAnsi="Cambria Math" w:cs="Cambria Math"/>
                      <w:sz w:val="28"/>
                      <w:szCs w:val="28"/>
                    </w:rPr>
                    <m:t>i=1</m:t>
                  </m:r>
                </m:sub>
                <m:sup>
                  <m:r>
                    <m:rPr>
                      <m:sty m:val="bi"/>
                    </m:rPr>
                    <w:rPr>
                      <w:rFonts w:ascii="Cambria Math" w:eastAsia="Cambria Math" w:hAnsi="Cambria Math" w:cs="Cambria Math"/>
                      <w:sz w:val="28"/>
                      <w:szCs w:val="28"/>
                    </w:rPr>
                    <m:t>n</m:t>
                  </m:r>
                </m:sup>
                <m:e>
                  <m:r>
                    <m:rPr>
                      <m:sty m:val="b"/>
                    </m:rPr>
                    <w:rPr>
                      <w:rFonts w:ascii="Cambria Math" w:eastAsia="Cambria Math" w:hAnsi="Cambria Math" w:cs="Cambria Math"/>
                      <w:sz w:val="28"/>
                      <w:szCs w:val="28"/>
                    </w:rPr>
                    <m:t xml:space="preserve"> </m:t>
                  </m:r>
                </m:e>
              </m:nary>
              <m:r>
                <m:rPr>
                  <m:sty m:val="b"/>
                </m:rPr>
                <w:rPr>
                  <w:rFonts w:ascii="Cambria Math" w:eastAsia="Cambria Math" w:hAnsi="Cambria Math" w:cs="Cambria Math"/>
                  <w:sz w:val="28"/>
                  <w:szCs w:val="28"/>
                </w:rPr>
                <m:t xml:space="preserve"> </m:t>
              </m:r>
              <m:sSup>
                <m:sSupPr>
                  <m:ctrlPr>
                    <w:rPr>
                      <w:rFonts w:ascii="Cambria Math" w:eastAsia="Cambria Math" w:hAnsi="Cambria Math" w:cs="Cambria Math"/>
                      <w:b/>
                      <w:bCs/>
                      <w:sz w:val="28"/>
                      <w:szCs w:val="28"/>
                    </w:rPr>
                  </m:ctrlPr>
                </m:sSupPr>
                <m:e>
                  <m:d>
                    <m:dPr>
                      <m:ctrlPr>
                        <w:rPr>
                          <w:rFonts w:ascii="Cambria Math" w:eastAsia="Cambria Math" w:hAnsi="Cambria Math" w:cs="Cambria Math"/>
                          <w:b/>
                          <w:bCs/>
                          <w:i/>
                          <w:sz w:val="28"/>
                          <w:szCs w:val="28"/>
                        </w:rPr>
                      </m:ctrlPr>
                    </m:dPr>
                    <m:e>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ctrlPr>
                            <w:rPr>
                              <w:rFonts w:ascii="Cambria Math" w:eastAsia="Cambria Math" w:hAnsi="Cambria Math" w:cs="Cambria Math"/>
                              <w:b/>
                              <w:bCs/>
                              <w:i/>
                              <w:sz w:val="28"/>
                              <w:szCs w:val="28"/>
                            </w:rPr>
                          </m:ctrlPr>
                        </m:e>
                        <m:sub>
                          <m:r>
                            <m:rPr>
                              <m:sty m:val="bi"/>
                            </m:rPr>
                            <w:rPr>
                              <w:rFonts w:ascii="Cambria Math" w:eastAsia="Cambria Math" w:hAnsi="Cambria Math" w:cs="Cambria Math"/>
                              <w:sz w:val="28"/>
                              <w:szCs w:val="28"/>
                            </w:rPr>
                            <m:t xml:space="preserve">i </m:t>
                          </m:r>
                          <m:ctrlPr>
                            <w:rPr>
                              <w:rFonts w:ascii="Cambria Math" w:eastAsia="Cambria Math" w:hAnsi="Cambria Math" w:cs="Cambria Math"/>
                              <w:b/>
                              <w:bCs/>
                              <w:i/>
                              <w:sz w:val="28"/>
                              <w:szCs w:val="28"/>
                            </w:rPr>
                          </m:ctrlPr>
                        </m:sub>
                      </m:sSub>
                      <m:r>
                        <m:rPr>
                          <m:sty m:val="bi"/>
                        </m:rPr>
                        <w:rPr>
                          <w:rFonts w:ascii="Cambria Math" w:eastAsia="Cambria Math" w:hAnsi="Cambria Math" w:cs="Cambria Math"/>
                          <w:sz w:val="28"/>
                          <w:szCs w:val="28"/>
                        </w:rPr>
                        <m:t>–</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ctrlPr>
                            <w:rPr>
                              <w:rFonts w:ascii="Cambria Math" w:eastAsia="Cambria Math" w:hAnsi="Cambria Math" w:cs="Cambria Math"/>
                              <w:b/>
                              <w:bCs/>
                              <w:i/>
                              <w:sz w:val="28"/>
                              <w:szCs w:val="28"/>
                            </w:rPr>
                          </m:ctrlPr>
                        </m:e>
                      </m:bar>
                    </m:e>
                  </m:d>
                  <m:ctrlPr>
                    <w:rPr>
                      <w:rFonts w:ascii="Cambria Math" w:eastAsia="Cambria Math" w:hAnsi="Cambria Math" w:cs="Cambria Math"/>
                      <w:b/>
                      <w:bCs/>
                      <w:i/>
                      <w:sz w:val="28"/>
                      <w:szCs w:val="28"/>
                    </w:rPr>
                  </m:ctrlPr>
                </m:e>
                <m:sup>
                  <m:r>
                    <m:rPr>
                      <m:sty m:val="bi"/>
                    </m:rPr>
                    <w:rPr>
                      <w:rFonts w:ascii="Cambria Math" w:eastAsia="Cambria Math" w:hAnsi="Cambria Math" w:cs="Cambria Math"/>
                      <w:sz w:val="28"/>
                      <w:szCs w:val="28"/>
                    </w:rPr>
                    <m:t xml:space="preserve">2  </m:t>
                  </m:r>
                  <m:ctrlPr>
                    <w:rPr>
                      <w:rFonts w:ascii="Cambria Math" w:eastAsia="Cambria Math" w:hAnsi="Cambria Math" w:cs="Cambria Math"/>
                      <w:b/>
                      <w:bCs/>
                      <w:i/>
                      <w:sz w:val="28"/>
                      <w:szCs w:val="28"/>
                    </w:rPr>
                  </m:ctrlPr>
                </m:sup>
              </m:sSup>
              <m:ctrlPr>
                <w:rPr>
                  <w:rFonts w:ascii="Cambria Math" w:eastAsia="Cambria Math" w:hAnsi="Cambria Math" w:cs="Cambria Math"/>
                  <w:b/>
                  <w:bCs/>
                  <w:i/>
                  <w:sz w:val="28"/>
                  <w:szCs w:val="28"/>
                </w:rPr>
              </m:ctrlPr>
            </m:num>
            <m:den>
              <m:r>
                <m:rPr>
                  <m:sty m:val="bi"/>
                </m:rPr>
                <w:rPr>
                  <w:rFonts w:ascii="Cambria Math" w:eastAsia="Cambria Math" w:hAnsi="Cambria Math" w:cs="Cambria Math"/>
                  <w:sz w:val="28"/>
                  <w:szCs w:val="28"/>
                </w:rPr>
                <m:t>n-1</m:t>
              </m:r>
              <m:ctrlPr>
                <w:rPr>
                  <w:rFonts w:ascii="Cambria Math" w:eastAsia="Cambria Math" w:hAnsi="Cambria Math" w:cs="Cambria Math"/>
                  <w:b/>
                  <w:bCs/>
                  <w:i/>
                  <w:sz w:val="28"/>
                  <w:szCs w:val="28"/>
                </w:rPr>
              </m:ctrlPr>
            </m:den>
          </m:f>
        </m:oMath>
      </m:oMathPara>
    </w:p>
    <w:p w:rsidR="00AE0C7B" w:rsidRPr="003639AB" w:rsidRDefault="00AE0C7B" w:rsidP="00AE0C7B">
      <w:pPr>
        <w:pStyle w:val="normal"/>
        <w:tabs>
          <w:tab w:val="left" w:pos="5650"/>
        </w:tabs>
        <w:bidi/>
        <w:spacing w:after="0" w:line="360" w:lineRule="auto"/>
        <w:jc w:val="center"/>
        <w:rPr>
          <w:rFonts w:asciiTheme="majorBidi" w:hAnsiTheme="majorBidi" w:cstheme="majorBidi" w:hint="cs"/>
          <w:b/>
          <w:bCs/>
          <w:sz w:val="10"/>
          <w:szCs w:val="10"/>
          <w:rtl/>
          <w:lang w:bidi="ar-IQ"/>
        </w:rPr>
      </w:pPr>
    </w:p>
    <w:p w:rsidR="00AE0C7B" w:rsidRPr="00DA2AA8" w:rsidRDefault="009E291D" w:rsidP="00AE0C7B">
      <w:pPr>
        <w:pStyle w:val="normal"/>
        <w:spacing w:after="0" w:line="360" w:lineRule="auto"/>
        <w:jc w:val="center"/>
        <w:rPr>
          <w:rFonts w:ascii="Cambria Math" w:eastAsia="Cambria Math" w:hAnsi="Cambria Math" w:cs="Cambria Math"/>
          <w:b/>
          <w:bCs/>
          <w:sz w:val="28"/>
          <w:szCs w:val="28"/>
        </w:rPr>
      </w:pPr>
      <m:oMathPara>
        <m:oMath>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xx</m:t>
              </m:r>
            </m:sub>
          </m:sSub>
          <m:r>
            <m:rPr>
              <m:sty m:val="bi"/>
            </m:rPr>
            <w:rPr>
              <w:rFonts w:ascii="Cambria Math" w:eastAsia="Cambria Math" w:hAnsi="Cambria Math" w:cs="Cambria Math"/>
              <w:sz w:val="28"/>
              <w:szCs w:val="28"/>
            </w:rPr>
            <m:t>=</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 xml:space="preserve">i </m:t>
                  </m:r>
                </m:sub>
              </m:sSub>
              <m:r>
                <m:rPr>
                  <m:sty m:val="bi"/>
                </m:rPr>
                <w:rPr>
                  <w:rFonts w:ascii="Cambria Math" w:eastAsia="Cambria Math" w:hAnsi="Cambria Math" w:cs="Cambria Math"/>
                  <w:sz w:val="28"/>
                  <w:szCs w:val="28"/>
                </w:rPr>
                <m:t>-</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e>
              </m:bar>
              <m:r>
                <m:rPr>
                  <m:sty m:val="bi"/>
                </m:rPr>
                <w:rPr>
                  <w:rFonts w:ascii="Cambria Math" w:eastAsia="Cambria Math" w:hAnsi="Cambria Math" w:cs="Cambria Math"/>
                  <w:sz w:val="28"/>
                  <w:szCs w:val="28"/>
                </w:rPr>
                <m:t>)</m:t>
              </m:r>
            </m:e>
            <m:sup>
              <m:r>
                <m:rPr>
                  <m:sty m:val="bi"/>
                </m:rPr>
                <w:rPr>
                  <w:rFonts w:ascii="Cambria Math" w:eastAsia="Cambria Math" w:hAnsi="Cambria Math" w:cs="Cambria Math"/>
                  <w:sz w:val="28"/>
                  <w:szCs w:val="28"/>
                </w:rPr>
                <m:t xml:space="preserve">2  </m:t>
              </m:r>
            </m:sup>
          </m:sSup>
          <m:r>
            <m:rPr>
              <m:sty m:val="bi"/>
            </m:rPr>
            <w:rPr>
              <w:rFonts w:ascii="Cambria Math" w:eastAsia="Cambria Math" w:hAnsi="Cambria Math" w:cs="Cambria Math"/>
              <w:sz w:val="28"/>
              <w:szCs w:val="28"/>
            </w:rPr>
            <m:t xml:space="preserve">,   </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yy</m:t>
              </m:r>
            </m:sub>
          </m:sSub>
          <m:r>
            <m:rPr>
              <m:sty m:val="bi"/>
            </m:rPr>
            <w:rPr>
              <w:rFonts w:ascii="Cambria Math" w:eastAsia="Cambria Math" w:hAnsi="Cambria Math" w:cs="Cambria Math"/>
              <w:sz w:val="28"/>
              <w:szCs w:val="28"/>
            </w:rPr>
            <m:t>=</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Y</m:t>
                  </m:r>
                </m:e>
                <m:sub>
                  <m:r>
                    <m:rPr>
                      <m:sty m:val="bi"/>
                    </m:rPr>
                    <w:rPr>
                      <w:rFonts w:ascii="Cambria Math" w:eastAsia="Cambria Math" w:hAnsi="Cambria Math" w:cs="Cambria Math"/>
                      <w:sz w:val="28"/>
                      <w:szCs w:val="28"/>
                    </w:rPr>
                    <m:t xml:space="preserve">i </m:t>
                  </m:r>
                </m:sub>
              </m:sSub>
              <m:r>
                <m:rPr>
                  <m:sty m:val="bi"/>
                </m:rPr>
                <w:rPr>
                  <w:rFonts w:ascii="Cambria Math" w:eastAsia="Cambria Math" w:hAnsi="Cambria Math" w:cs="Cambria Math"/>
                  <w:sz w:val="28"/>
                  <w:szCs w:val="28"/>
                </w:rPr>
                <m:t>-</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Y</m:t>
                  </m:r>
                </m:e>
              </m:bar>
              <m:r>
                <m:rPr>
                  <m:sty m:val="bi"/>
                </m:rPr>
                <w:rPr>
                  <w:rFonts w:ascii="Cambria Math" w:eastAsia="Cambria Math" w:hAnsi="Cambria Math" w:cs="Cambria Math"/>
                  <w:sz w:val="28"/>
                  <w:szCs w:val="28"/>
                </w:rPr>
                <m:t>)</m:t>
              </m:r>
            </m:e>
            <m:sup>
              <m:r>
                <m:rPr>
                  <m:sty m:val="bi"/>
                </m:rPr>
                <w:rPr>
                  <w:rFonts w:ascii="Cambria Math" w:eastAsia="Cambria Math" w:hAnsi="Cambria Math" w:cs="Cambria Math"/>
                  <w:sz w:val="28"/>
                  <w:szCs w:val="28"/>
                </w:rPr>
                <m:t xml:space="preserve">2  </m:t>
              </m:r>
            </m:sup>
          </m:sSup>
          <m:r>
            <m:rPr>
              <m:sty m:val="bi"/>
            </m:rPr>
            <w:rPr>
              <w:rFonts w:ascii="Cambria Math" w:eastAsia="Cambria Math" w:hAnsi="Cambria Math" w:cs="Cambria Math"/>
              <w:sz w:val="28"/>
              <w:szCs w:val="28"/>
            </w:rPr>
            <m:t xml:space="preserve">,  </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xy</m:t>
              </m:r>
            </m:sub>
          </m:sSub>
          <m:r>
            <m:rPr>
              <m:sty m:val="bi"/>
            </m:rPr>
            <w:rPr>
              <w:rFonts w:ascii="Cambria Math" w:eastAsia="Cambria Math" w:hAnsi="Cambria Math" w:cs="Cambria Math"/>
              <w:sz w:val="28"/>
              <w:szCs w:val="28"/>
            </w:rPr>
            <m:t>=</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 xml:space="preserve">i </m:t>
                  </m:r>
                </m:sub>
              </m:sSub>
              <m:r>
                <m:rPr>
                  <m:sty m:val="bi"/>
                </m:rPr>
                <w:rPr>
                  <w:rFonts w:ascii="Cambria Math" w:eastAsia="Cambria Math" w:hAnsi="Cambria Math" w:cs="Cambria Math"/>
                  <w:sz w:val="28"/>
                  <w:szCs w:val="28"/>
                </w:rPr>
                <m:t>-</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e>
              </m:bar>
              <m:r>
                <m:rPr>
                  <m:sty m:val="bi"/>
                </m:rPr>
                <w:rPr>
                  <w:rFonts w:ascii="Cambria Math" w:eastAsia="Cambria Math" w:hAnsi="Cambria Math" w:cs="Cambria Math"/>
                  <w:sz w:val="28"/>
                  <w:szCs w:val="28"/>
                </w:rPr>
                <m:t>)</m:t>
              </m:r>
            </m:e>
            <m:sup>
              <m:r>
                <m:rPr>
                  <m:sty m:val="bi"/>
                </m:rPr>
                <w:rPr>
                  <w:rFonts w:ascii="Cambria Math" w:eastAsia="Cambria Math" w:hAnsi="Cambria Math" w:cs="Cambria Math"/>
                  <w:sz w:val="28"/>
                  <w:szCs w:val="28"/>
                </w:rPr>
                <m:t xml:space="preserve">  </m:t>
              </m:r>
            </m:sup>
          </m:sSup>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Y</m:t>
              </m:r>
            </m:e>
            <m:sub>
              <m:r>
                <m:rPr>
                  <m:sty m:val="bi"/>
                </m:rPr>
                <w:rPr>
                  <w:rFonts w:ascii="Cambria Math" w:eastAsia="Cambria Math" w:hAnsi="Cambria Math" w:cs="Cambria Math"/>
                  <w:sz w:val="28"/>
                  <w:szCs w:val="28"/>
                </w:rPr>
                <m:t xml:space="preserve">i </m:t>
              </m:r>
            </m:sub>
          </m:sSub>
          <m:r>
            <m:rPr>
              <m:sty m:val="bi"/>
            </m:rPr>
            <w:rPr>
              <w:rFonts w:ascii="Cambria Math" w:eastAsia="Cambria Math" w:hAnsi="Cambria Math" w:cs="Cambria Math"/>
              <w:sz w:val="28"/>
              <w:szCs w:val="28"/>
            </w:rPr>
            <m:t>-</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Y</m:t>
              </m:r>
            </m:e>
          </m:bar>
          <m:r>
            <m:rPr>
              <m:sty m:val="bi"/>
            </m:rPr>
            <w:rPr>
              <w:rFonts w:ascii="Cambria Math" w:eastAsia="Cambria Math" w:hAnsi="Cambria Math" w:cs="Cambria Math"/>
              <w:sz w:val="28"/>
              <w:szCs w:val="28"/>
            </w:rPr>
            <m:t>),</m:t>
          </m:r>
        </m:oMath>
      </m:oMathPara>
    </w:p>
    <w:p w:rsidR="00AE0C7B" w:rsidRPr="00DA2AA8" w:rsidRDefault="009E291D" w:rsidP="00AE0C7B">
      <w:pPr>
        <w:pStyle w:val="normal"/>
        <w:spacing w:line="360" w:lineRule="auto"/>
        <w:jc w:val="center"/>
        <w:rPr>
          <w:rFonts w:ascii="Cambria Math" w:eastAsia="Cambria Math" w:hAnsi="Cambria Math" w:cs="Cambria Math"/>
          <w:b/>
          <w:bCs/>
          <w:sz w:val="28"/>
          <w:szCs w:val="28"/>
        </w:rPr>
      </w:pPr>
      <m:oMathPara>
        <m:oMath>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R</m:t>
              </m:r>
            </m:e>
            <m:sup>
              <m:r>
                <m:rPr>
                  <m:sty m:val="bi"/>
                </m:rPr>
                <w:rPr>
                  <w:rFonts w:ascii="Cambria Math" w:eastAsia="Cambria Math" w:hAnsi="Cambria Math" w:cs="Cambria Math"/>
                  <w:sz w:val="28"/>
                  <w:szCs w:val="28"/>
                </w:rPr>
                <m:t>2</m:t>
              </m:r>
            </m:sup>
          </m:sSup>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xy</m:t>
                  </m:r>
                </m:sub>
              </m:sSub>
            </m:num>
            <m:den>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yy</m:t>
                  </m:r>
                </m:sub>
              </m:sSub>
            </m:den>
          </m:f>
        </m:oMath>
      </m:oMathPara>
    </w:p>
    <w:p w:rsidR="00AE0C7B" w:rsidRPr="00DA2AA8" w:rsidRDefault="00AE0C7B" w:rsidP="00AE0C7B">
      <w:pPr>
        <w:pStyle w:val="normal"/>
        <w:spacing w:line="360" w:lineRule="auto"/>
        <w:jc w:val="center"/>
        <w:rPr>
          <w:rFonts w:ascii="Cambria Math" w:eastAsia="Cambria Math" w:hAnsi="Cambria Math" w:cs="Cambria Math"/>
          <w:b/>
          <w:bCs/>
          <w:sz w:val="28"/>
          <w:szCs w:val="28"/>
        </w:rPr>
      </w:pPr>
      <m:oMathPara>
        <m:oMath>
          <m:r>
            <m:rPr>
              <m:sty m:val="bi"/>
            </m:rPr>
            <w:rPr>
              <w:rFonts w:ascii="Cambria Math" w:eastAsia="Cambria Math" w:hAnsi="Cambria Math" w:cs="Cambria Math"/>
              <w:sz w:val="28"/>
              <w:szCs w:val="28"/>
            </w:rPr>
            <m:t>F=</m:t>
          </m:r>
          <m:f>
            <m:fPr>
              <m:ctrlPr>
                <w:rPr>
                  <w:rFonts w:ascii="Cambria Math" w:eastAsia="Cambria Math" w:hAnsi="Cambria Math" w:cs="Cambria Math"/>
                  <w:b/>
                  <w:bCs/>
                  <w:sz w:val="28"/>
                  <w:szCs w:val="28"/>
                </w:rPr>
              </m:ctrlPr>
            </m:fPr>
            <m:num>
              <m:f>
                <m:fPr>
                  <m:ctrlPr>
                    <w:rPr>
                      <w:rFonts w:ascii="Cambria Math" w:eastAsia="Cambria Math" w:hAnsi="Cambria Math" w:cs="Cambria Math"/>
                      <w:b/>
                      <w:bCs/>
                      <w:sz w:val="28"/>
                      <w:szCs w:val="28"/>
                    </w:rPr>
                  </m:ctrlPr>
                </m:fPr>
                <m:num>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xy</m:t>
                      </m:r>
                    </m:sub>
                  </m:sSub>
                </m:num>
                <m:den>
                  <m:r>
                    <m:rPr>
                      <m:sty m:val="bi"/>
                    </m:rPr>
                    <w:rPr>
                      <w:rFonts w:ascii="Cambria Math" w:eastAsia="Cambria Math" w:hAnsi="Cambria Math" w:cs="Cambria Math"/>
                      <w:sz w:val="28"/>
                      <w:szCs w:val="28"/>
                    </w:rPr>
                    <m:t>k</m:t>
                  </m:r>
                </m:den>
              </m:f>
            </m:num>
            <m:den>
              <m:f>
                <m:fPr>
                  <m:ctrlPr>
                    <w:rPr>
                      <w:rFonts w:ascii="Cambria Math" w:eastAsia="Cambria Math" w:hAnsi="Cambria Math" w:cs="Cambria Math"/>
                      <w:b/>
                      <w:bCs/>
                      <w:sz w:val="28"/>
                      <w:szCs w:val="28"/>
                    </w:rPr>
                  </m:ctrlPr>
                </m:fPr>
                <m:num>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yy</m:t>
                      </m:r>
                    </m:sub>
                  </m:sSub>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xy</m:t>
                      </m:r>
                    </m:sub>
                  </m:sSub>
                  <m:r>
                    <m:rPr>
                      <m:sty m:val="bi"/>
                    </m:rPr>
                    <w:rPr>
                      <w:rFonts w:ascii="Cambria Math" w:eastAsia="Cambria Math" w:hAnsi="Cambria Math" w:cs="Cambria Math"/>
                      <w:sz w:val="28"/>
                      <w:szCs w:val="28"/>
                    </w:rPr>
                    <m:t>)</m:t>
                  </m:r>
                </m:num>
                <m:den>
                  <m:r>
                    <m:rPr>
                      <m:sty m:val="bi"/>
                    </m:rPr>
                    <w:rPr>
                      <w:rFonts w:ascii="Cambria Math" w:eastAsia="Cambria Math" w:hAnsi="Cambria Math" w:cs="Cambria Math"/>
                      <w:sz w:val="28"/>
                      <w:szCs w:val="28"/>
                    </w:rPr>
                    <m:t>n-k-1</m:t>
                  </m:r>
                </m:den>
              </m:f>
            </m:den>
          </m:f>
        </m:oMath>
      </m:oMathPara>
    </w:p>
    <w:p w:rsidR="00AE0C7B" w:rsidRPr="003639AB" w:rsidRDefault="00AE0C7B" w:rsidP="00AE0C7B">
      <w:pPr>
        <w:pStyle w:val="normal"/>
        <w:spacing w:line="360" w:lineRule="auto"/>
        <w:jc w:val="center"/>
        <w:rPr>
          <w:rFonts w:ascii="Cambria Math" w:eastAsia="Cambria Math" w:hAnsi="Cambria Math" w:cs="Cambria Math"/>
          <w:b/>
          <w:bCs/>
          <w:sz w:val="2"/>
          <w:szCs w:val="2"/>
        </w:rPr>
      </w:pPr>
    </w:p>
    <w:p w:rsidR="00AE0C7B" w:rsidRPr="00F62012" w:rsidRDefault="00AE0C7B" w:rsidP="00AE0C7B">
      <w:pPr>
        <w:pStyle w:val="normal"/>
        <w:bidi/>
        <w:spacing w:line="360" w:lineRule="auto"/>
        <w:jc w:val="center"/>
        <w:rPr>
          <w:rFonts w:ascii="Cambria Math" w:eastAsia="Cambria Math" w:hAnsi="Cambria Math" w:cstheme="minorBidi"/>
          <w:b/>
          <w:bCs/>
          <w:sz w:val="28"/>
          <w:szCs w:val="28"/>
          <w:rtl/>
          <w:lang w:bidi="ar-IQ"/>
        </w:rPr>
      </w:pPr>
      <m:oMathPara>
        <m:oMath>
          <m:r>
            <m:rPr>
              <m:sty m:val="bi"/>
            </m:rPr>
            <w:rPr>
              <w:rFonts w:ascii="Cambria Math" w:eastAsia="Cambria Math" w:hAnsi="Cambria Math" w:cs="Cambria Math"/>
              <w:sz w:val="28"/>
              <w:szCs w:val="28"/>
            </w:rPr>
            <m:t>t=</m:t>
          </m:r>
          <m:f>
            <m:fPr>
              <m:ctrlPr>
                <w:rPr>
                  <w:rFonts w:ascii="Cambria Math" w:eastAsia="Cambria Math" w:hAnsi="Cambria Math" w:cs="Cambria Math"/>
                  <w:b/>
                  <w:bCs/>
                  <w:sz w:val="28"/>
                  <w:szCs w:val="28"/>
                </w:rPr>
              </m:ctrlPr>
            </m:fPr>
            <m:num>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0</m:t>
                  </m:r>
                </m:sub>
              </m:sSub>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β</m:t>
                  </m:r>
                </m:e>
                <m:sub>
                  <m:r>
                    <m:rPr>
                      <m:sty m:val="bi"/>
                    </m:rPr>
                    <w:rPr>
                      <w:rFonts w:ascii="Cambria Math" w:eastAsia="Cambria Math" w:hAnsi="Cambria Math" w:cs="Cambria Math"/>
                      <w:sz w:val="28"/>
                      <w:szCs w:val="28"/>
                    </w:rPr>
                    <m:t>0</m:t>
                  </m:r>
                </m:sub>
              </m:sSub>
            </m:num>
            <m:den>
              <m:rad>
                <m:radPr>
                  <m:degHide m:val="on"/>
                  <m:ctrlPr>
                    <w:rPr>
                      <w:rFonts w:ascii="Cambria Math" w:eastAsia="Cambria Math" w:hAnsi="Cambria Math" w:cs="Cambria Math"/>
                      <w:b/>
                      <w:bCs/>
                      <w:sz w:val="28"/>
                      <w:szCs w:val="28"/>
                    </w:rPr>
                  </m:ctrlPr>
                </m:radPr>
                <m:deg/>
                <m:e>
                  <m:r>
                    <m:rPr>
                      <m:sty m:val="bi"/>
                    </m:rPr>
                    <w:rPr>
                      <w:rFonts w:ascii="Cambria Math" w:eastAsia="Cambria Math" w:hAnsi="Cambria Math" w:cs="Cambria Math"/>
                      <w:sz w:val="28"/>
                      <w:szCs w:val="28"/>
                    </w:rPr>
                    <m:t>S</m:t>
                  </m:r>
                  <m:d>
                    <m:dPr>
                      <m:ctrlPr>
                        <w:rPr>
                          <w:rFonts w:ascii="Cambria Math" w:eastAsia="Cambria Math" w:hAnsi="Cambria Math" w:cs="Cambria Math"/>
                          <w:b/>
                          <w:bCs/>
                          <w:i/>
                          <w:sz w:val="28"/>
                          <w:szCs w:val="28"/>
                        </w:rPr>
                      </m:ctrlPr>
                    </m:dPr>
                    <m:e>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0</m:t>
                          </m:r>
                        </m:sub>
                      </m:sSub>
                    </m:e>
                  </m:d>
                </m:e>
              </m:rad>
            </m:den>
          </m:f>
          <m:r>
            <m:rPr>
              <m:sty m:val="bi"/>
            </m:rPr>
            <w:rPr>
              <w:rFonts w:ascii="Cambria Math" w:eastAsia="Cambria Math" w:hAnsi="Cambria Math" w:cs="Cambria Math"/>
              <w:sz w:val="28"/>
              <w:szCs w:val="28"/>
            </w:rPr>
            <m:t xml:space="preserve">  ,   t=</m:t>
          </m:r>
          <m:f>
            <m:fPr>
              <m:ctrlPr>
                <w:rPr>
                  <w:rFonts w:ascii="Cambria Math" w:eastAsia="Cambria Math" w:hAnsi="Cambria Math" w:cs="Cambria Math"/>
                  <w:b/>
                  <w:bCs/>
                  <w:sz w:val="28"/>
                  <w:szCs w:val="28"/>
                </w:rPr>
              </m:ctrlPr>
            </m:fPr>
            <m:num>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β</m:t>
                  </m:r>
                </m:e>
                <m:sub>
                  <m:r>
                    <m:rPr>
                      <m:sty m:val="bi"/>
                    </m:rPr>
                    <w:rPr>
                      <w:rFonts w:ascii="Cambria Math" w:eastAsia="Cambria Math" w:hAnsi="Cambria Math" w:cs="Cambria Math"/>
                      <w:sz w:val="28"/>
                      <w:szCs w:val="28"/>
                    </w:rPr>
                    <m:t>1</m:t>
                  </m:r>
                </m:sub>
              </m:sSub>
            </m:num>
            <m:den>
              <m:rad>
                <m:radPr>
                  <m:degHide m:val="on"/>
                  <m:ctrlPr>
                    <w:rPr>
                      <w:rFonts w:ascii="Cambria Math" w:eastAsia="Cambria Math" w:hAnsi="Cambria Math" w:cs="Cambria Math"/>
                      <w:b/>
                      <w:bCs/>
                      <w:sz w:val="28"/>
                      <w:szCs w:val="28"/>
                    </w:rPr>
                  </m:ctrlPr>
                </m:radPr>
                <m:deg/>
                <m:e>
                  <m:r>
                    <m:rPr>
                      <m:sty m:val="bi"/>
                    </m:rPr>
                    <w:rPr>
                      <w:rFonts w:ascii="Cambria Math" w:eastAsia="Cambria Math" w:hAnsi="Cambria Math" w:cs="Cambria Math"/>
                      <w:sz w:val="28"/>
                      <w:szCs w:val="28"/>
                    </w:rPr>
                    <m:t>S</m:t>
                  </m:r>
                  <m:d>
                    <m:dPr>
                      <m:ctrlPr>
                        <w:rPr>
                          <w:rFonts w:ascii="Cambria Math" w:eastAsia="Cambria Math" w:hAnsi="Cambria Math" w:cs="Cambria Math"/>
                          <w:b/>
                          <w:bCs/>
                          <w:i/>
                          <w:sz w:val="28"/>
                          <w:szCs w:val="28"/>
                        </w:rPr>
                      </m:ctrlPr>
                    </m:dPr>
                    <m:e>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e>
                  </m:d>
                </m:e>
              </m:rad>
            </m:den>
          </m:f>
        </m:oMath>
      </m:oMathPara>
    </w:p>
    <w:p w:rsidR="00AE0C7B" w:rsidRPr="003639AB" w:rsidRDefault="00AE0C7B" w:rsidP="00AE0C7B">
      <w:pPr>
        <w:pStyle w:val="normal"/>
        <w:bidi/>
        <w:spacing w:line="360" w:lineRule="auto"/>
        <w:jc w:val="center"/>
        <w:rPr>
          <w:rFonts w:ascii="Cambria Math" w:eastAsia="Cambria Math" w:hAnsi="Cambria Math" w:cstheme="minorBidi"/>
          <w:b/>
          <w:bCs/>
          <w:sz w:val="2"/>
          <w:szCs w:val="2"/>
          <w:rtl/>
          <w:lang w:bidi="ar-IQ"/>
        </w:rPr>
      </w:pPr>
    </w:p>
    <w:p w:rsidR="00AE0C7B" w:rsidRPr="00DA2AA8" w:rsidRDefault="00AE0C7B" w:rsidP="00AE0C7B">
      <w:pPr>
        <w:pStyle w:val="normal"/>
        <w:bidi/>
        <w:spacing w:line="360" w:lineRule="auto"/>
        <w:rPr>
          <w:b/>
          <w:bCs/>
          <w:sz w:val="2"/>
          <w:szCs w:val="2"/>
          <w:rtl/>
          <w:lang w:bidi="ar-IQ"/>
        </w:rPr>
      </w:pPr>
    </w:p>
    <w:p w:rsidR="00AE0C7B" w:rsidRPr="00DA2AA8" w:rsidRDefault="009E291D" w:rsidP="00AE0C7B">
      <w:pPr>
        <w:pStyle w:val="normal"/>
        <w:spacing w:line="360" w:lineRule="auto"/>
        <w:jc w:val="center"/>
        <w:rPr>
          <w:rFonts w:ascii="Cambria Math" w:eastAsia="Cambria Math" w:hAnsi="Cambria Math" w:cs="Cambria Math"/>
          <w:b/>
          <w:bCs/>
          <w:sz w:val="28"/>
          <w:szCs w:val="28"/>
        </w:rPr>
      </w:pPr>
      <m:oMathPara>
        <m:oMath>
          <m:sSub>
            <m:sSubPr>
              <m:ctrlPr>
                <w:rPr>
                  <w:rFonts w:ascii="Cambria Math" w:eastAsia="Cambria Math" w:hAnsi="Cambria Math" w:cs="Cambria Math"/>
                  <w:b/>
                  <w:bCs/>
                  <w:sz w:val="28"/>
                  <w:szCs w:val="28"/>
                </w:rPr>
              </m:ctrlPr>
            </m:sSubPr>
            <m:e>
              <m:acc>
                <m:accPr>
                  <m:ctrlPr>
                    <w:rPr>
                      <w:rFonts w:ascii="Cambria Math" w:hAnsi="Cambria Math"/>
                      <w:b/>
                      <w:bCs/>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r>
                <m:rPr>
                  <m:sty m:val="bi"/>
                </m:rPr>
                <w:rPr>
                  <w:rFonts w:ascii="Cambria Math" w:eastAsia="Cambria Math" w:hAnsi="Cambria Math" w:cs="Cambria Math"/>
                  <w:sz w:val="28"/>
                  <w:szCs w:val="28"/>
                </w:rPr>
                <m:t>n</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 xml:space="preserve">i </m:t>
                  </m:r>
                </m:sub>
              </m:sSub>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Y</m:t>
                  </m:r>
                </m:e>
                <m:sub>
                  <m:r>
                    <m:rPr>
                      <m:sty m:val="bi"/>
                    </m:rPr>
                    <w:rPr>
                      <w:rFonts w:ascii="Cambria Math" w:eastAsia="Cambria Math" w:hAnsi="Cambria Math" w:cs="Cambria Math"/>
                      <w:sz w:val="28"/>
                      <w:szCs w:val="28"/>
                    </w:rPr>
                    <m:t>i</m:t>
                  </m:r>
                </m:sub>
              </m:sSub>
              <m:r>
                <m:rPr>
                  <m:sty m:val="bi"/>
                </m:rPr>
                <w:rPr>
                  <w:rFonts w:ascii="Cambria Math" w:eastAsia="Cambria Math" w:hAnsi="Cambria Math" w:cs="Cambria Math"/>
                  <w:sz w:val="28"/>
                  <w:szCs w:val="28"/>
                </w:rPr>
                <m:t>-</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 xml:space="preserve">i </m:t>
                  </m:r>
                </m:sub>
              </m:sSub>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Y</m:t>
                  </m:r>
                </m:e>
                <m:sub>
                  <m:r>
                    <m:rPr>
                      <m:sty m:val="bi"/>
                    </m:rPr>
                    <w:rPr>
                      <w:rFonts w:ascii="Cambria Math" w:eastAsia="Cambria Math" w:hAnsi="Cambria Math" w:cs="Cambria Math"/>
                      <w:sz w:val="28"/>
                      <w:szCs w:val="28"/>
                    </w:rPr>
                    <m:t xml:space="preserve">i </m:t>
                  </m:r>
                </m:sub>
              </m:sSub>
            </m:num>
            <m:den>
              <m:r>
                <m:rPr>
                  <m:sty m:val="bi"/>
                </m:rPr>
                <w:rPr>
                  <w:rFonts w:ascii="Cambria Math" w:eastAsia="Cambria Math" w:hAnsi="Cambria Math" w:cs="Cambria Math"/>
                  <w:sz w:val="28"/>
                  <w:szCs w:val="28"/>
                </w:rPr>
                <m:t>n</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bSup>
                <m:sSubSupPr>
                  <m:ctrlPr>
                    <w:rPr>
                      <w:rFonts w:ascii="Cambria Math" w:eastAsia="Cambria Math" w:hAnsi="Cambria Math" w:cs="Cambria Math"/>
                      <w:b/>
                      <w:bCs/>
                      <w:sz w:val="28"/>
                      <w:szCs w:val="28"/>
                    </w:rPr>
                  </m:ctrlPr>
                </m:sSubSup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i</m:t>
                  </m:r>
                </m:sub>
                <m:sup>
                  <m:r>
                    <m:rPr>
                      <m:sty m:val="bi"/>
                    </m:rPr>
                    <w:rPr>
                      <w:rFonts w:ascii="Cambria Math" w:eastAsia="Cambria Math" w:hAnsi="Cambria Math" w:cs="Cambria Math"/>
                      <w:sz w:val="28"/>
                      <w:szCs w:val="28"/>
                    </w:rPr>
                    <m:t>2</m:t>
                  </m:r>
                </m:sup>
              </m:sSubSup>
              <m:r>
                <m:rPr>
                  <m:sty m:val="bi"/>
                </m:rPr>
                <w:rPr>
                  <w:rFonts w:ascii="Cambria Math" w:eastAsia="Cambria Math" w:hAnsi="Cambria Math" w:cs="Cambria Math"/>
                  <w:sz w:val="28"/>
                  <w:szCs w:val="28"/>
                </w:rPr>
                <m:t>-</m:t>
              </m:r>
              <m:sSup>
                <m:sSupPr>
                  <m:ctrlPr>
                    <w:rPr>
                      <w:rFonts w:ascii="Cambria Math" w:eastAsia="Cambria Math" w:hAnsi="Cambria Math" w:cs="Cambria Math"/>
                      <w:b/>
                      <w:bCs/>
                      <w:sz w:val="28"/>
                      <w:szCs w:val="28"/>
                    </w:rPr>
                  </m:ctrlPr>
                </m:sSupPr>
                <m:e>
                  <m:r>
                    <m:rPr>
                      <m:sty m:val="bi"/>
                    </m:rPr>
                    <w:rPr>
                      <w:rFonts w:ascii="Cambria Math" w:eastAsia="Cambria Math" w:hAnsi="Cambria Math" w:cs="Cambria Math"/>
                      <w:sz w:val="28"/>
                      <w:szCs w:val="28"/>
                    </w:rPr>
                    <m:t>(</m:t>
                  </m:r>
                  <m:nary>
                    <m:naryPr>
                      <m:chr m:val="∑"/>
                      <m:ctrlPr>
                        <w:rPr>
                          <w:rFonts w:ascii="Cambria Math" w:eastAsia="Cambria Math" w:hAnsi="Cambria Math" w:cs="Cambria Math"/>
                          <w:b/>
                          <w:bCs/>
                          <w:sz w:val="28"/>
                          <w:szCs w:val="28"/>
                        </w:rPr>
                      </m:ctrlPr>
                    </m:naryPr>
                    <m:sub>
                      <m:r>
                        <m:rPr>
                          <m:sty m:val="b"/>
                        </m:rPr>
                        <w:rPr>
                          <w:rFonts w:ascii="Cambria Math" w:eastAsia="Cambria Math" w:hAnsi="Cambria Math" w:cs="Cambria Math"/>
                          <w:sz w:val="28"/>
                          <w:szCs w:val="28"/>
                        </w:rPr>
                        <m:t xml:space="preserve"> </m:t>
                      </m:r>
                    </m:sub>
                    <m:sup>
                      <m:r>
                        <m:rPr>
                          <m:sty m:val="b"/>
                        </m:rPr>
                        <w:rPr>
                          <w:rFonts w:ascii="Cambria Math" w:eastAsia="Cambria Math" w:hAnsi="Cambria Math" w:cs="Cambria Math"/>
                          <w:sz w:val="28"/>
                          <w:szCs w:val="28"/>
                        </w:rPr>
                        <m:t xml:space="preserve"> </m:t>
                      </m:r>
                    </m:sup>
                    <m:e>
                      <m:r>
                        <m:rPr>
                          <m:sty m:val="b"/>
                        </m:rPr>
                        <w:rPr>
                          <w:rFonts w:ascii="Cambria Math" w:eastAsia="Cambria Math" w:hAnsi="Cambria Math" w:cs="Cambria Math"/>
                          <w:sz w:val="28"/>
                          <w:szCs w:val="28"/>
                        </w:rPr>
                        <m:t xml:space="preserve"> </m:t>
                      </m:r>
                    </m:e>
                  </m:nary>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X</m:t>
                      </m:r>
                    </m:e>
                    <m:sub>
                      <m:r>
                        <m:rPr>
                          <m:sty m:val="bi"/>
                        </m:rPr>
                        <w:rPr>
                          <w:rFonts w:ascii="Cambria Math" w:eastAsia="Cambria Math" w:hAnsi="Cambria Math" w:cs="Cambria Math"/>
                          <w:sz w:val="28"/>
                          <w:szCs w:val="28"/>
                        </w:rPr>
                        <m:t xml:space="preserve">i </m:t>
                      </m:r>
                    </m:sub>
                  </m:sSub>
                  <m:r>
                    <m:rPr>
                      <m:sty m:val="bi"/>
                    </m:rPr>
                    <w:rPr>
                      <w:rFonts w:ascii="Cambria Math" w:eastAsia="Cambria Math" w:hAnsi="Cambria Math" w:cs="Cambria Math"/>
                      <w:sz w:val="28"/>
                      <w:szCs w:val="28"/>
                    </w:rPr>
                    <m:t>)</m:t>
                  </m:r>
                </m:e>
                <m:sup>
                  <m:r>
                    <m:rPr>
                      <m:sty m:val="bi"/>
                    </m:rPr>
                    <w:rPr>
                      <w:rFonts w:ascii="Cambria Math" w:eastAsia="Cambria Math" w:hAnsi="Cambria Math" w:cs="Cambria Math"/>
                      <w:sz w:val="28"/>
                      <w:szCs w:val="28"/>
                    </w:rPr>
                    <m:t>2</m:t>
                  </m:r>
                </m:sup>
              </m:sSup>
            </m:den>
          </m:f>
          <m:r>
            <m:rPr>
              <m:sty m:val="bi"/>
            </m:rPr>
            <w:rPr>
              <w:rFonts w:ascii="Cambria Math" w:eastAsia="Cambria Math" w:hAnsi="Cambria Math" w:cs="Cambria Math"/>
              <w:sz w:val="28"/>
              <w:szCs w:val="28"/>
            </w:rPr>
            <m:t xml:space="preserve">,      </m:t>
          </m:r>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0</m:t>
              </m:r>
            </m:sub>
          </m:sSub>
          <m:r>
            <m:rPr>
              <m:sty m:val="bi"/>
            </m:rPr>
            <w:rPr>
              <w:rFonts w:ascii="Cambria Math" w:eastAsia="Cambria Math" w:hAnsi="Cambria Math" w:cs="Cambria Math"/>
              <w:sz w:val="28"/>
              <w:szCs w:val="28"/>
            </w:rPr>
            <m:t xml:space="preserve">=     </m:t>
          </m:r>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Y</m:t>
              </m:r>
            </m:e>
          </m:bar>
          <m:r>
            <m:rPr>
              <m:sty m:val="bi"/>
            </m:rPr>
            <w:rPr>
              <w:rFonts w:ascii="Cambria Math" w:eastAsia="Cambria Math" w:hAnsi="Cambria Math" w:cs="Cambria Math"/>
              <w:sz w:val="28"/>
              <w:szCs w:val="28"/>
            </w:rPr>
            <m:t>-</m:t>
          </m:r>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e>
          </m:bar>
        </m:oMath>
      </m:oMathPara>
    </w:p>
    <w:p w:rsidR="00AE0C7B" w:rsidRDefault="00AE0C7B" w:rsidP="00AE0C7B">
      <w:pPr>
        <w:pStyle w:val="a3"/>
        <w:spacing w:after="0" w:line="360" w:lineRule="auto"/>
        <w:ind w:left="26"/>
        <w:jc w:val="lowKashida"/>
        <w:rPr>
          <w:rFonts w:asciiTheme="majorBidi" w:hAnsiTheme="majorBidi" w:cstheme="majorBidi"/>
          <w:b/>
          <w:bCs/>
          <w:sz w:val="16"/>
          <w:szCs w:val="16"/>
          <w:rtl/>
          <w:lang w:bidi="ar-IQ"/>
        </w:rPr>
      </w:pPr>
      <m:oMathPara>
        <m:oMath>
          <m:r>
            <m:rPr>
              <m:sty m:val="bi"/>
            </m:rPr>
            <w:rPr>
              <w:rFonts w:ascii="Cambria Math" w:eastAsia="Cambria Math" w:hAnsi="Cambria Math" w:cs="Cambria Math"/>
              <w:sz w:val="28"/>
              <w:szCs w:val="28"/>
            </w:rPr>
            <m:t>S</m:t>
          </m:r>
          <m:d>
            <m:dPr>
              <m:ctrlPr>
                <w:rPr>
                  <w:rFonts w:ascii="Cambria Math" w:eastAsia="Cambria Math" w:hAnsi="Cambria Math" w:cs="Cambria Math"/>
                  <w:b/>
                  <w:bCs/>
                  <w:sz w:val="28"/>
                  <w:szCs w:val="28"/>
                </w:rPr>
              </m:ctrlPr>
            </m:dPr>
            <m:e>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1</m:t>
                  </m:r>
                </m:sub>
              </m:sSub>
            </m:e>
          </m:d>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sSubSup>
                <m:sSubSupPr>
                  <m:ctrlPr>
                    <w:rPr>
                      <w:rFonts w:ascii="Cambria Math" w:eastAsia="Cambria Math" w:hAnsi="Cambria Math" w:cs="Cambria Math"/>
                      <w:b/>
                      <w:bCs/>
                      <w:sz w:val="28"/>
                      <w:szCs w:val="28"/>
                    </w:rPr>
                  </m:ctrlPr>
                </m:sSubSupPr>
                <m:e>
                  <m:r>
                    <m:rPr>
                      <m:sty m:val="bi"/>
                    </m:rPr>
                    <w:rPr>
                      <w:rFonts w:ascii="Cambria Math" w:eastAsia="Cambria Math" w:hAnsi="Cambria Math" w:cs="Cambria Math"/>
                      <w:sz w:val="28"/>
                      <w:szCs w:val="28"/>
                    </w:rPr>
                    <m:t>σ</m:t>
                  </m:r>
                </m:e>
                <m:sub>
                  <m:r>
                    <m:rPr>
                      <m:sty m:val="bi"/>
                    </m:rPr>
                    <w:rPr>
                      <w:rFonts w:ascii="Cambria Math" w:eastAsia="Cambria Math" w:hAnsi="Cambria Math" w:cs="Cambria Math"/>
                      <w:sz w:val="28"/>
                      <w:szCs w:val="28"/>
                    </w:rPr>
                    <m:t>u</m:t>
                  </m:r>
                </m:sub>
                <m:sup>
                  <m:r>
                    <m:rPr>
                      <m:sty m:val="bi"/>
                    </m:rPr>
                    <w:rPr>
                      <w:rFonts w:ascii="Cambria Math" w:eastAsia="Cambria Math" w:hAnsi="Cambria Math" w:cs="Cambria Math"/>
                      <w:sz w:val="28"/>
                      <w:szCs w:val="28"/>
                    </w:rPr>
                    <m:t>2</m:t>
                  </m:r>
                </m:sup>
              </m:sSubSup>
            </m:num>
            <m:den>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xx</m:t>
                  </m:r>
                </m:sub>
              </m:sSub>
            </m:den>
          </m:f>
          <m:r>
            <m:rPr>
              <m:sty m:val="bi"/>
            </m:rPr>
            <w:rPr>
              <w:rFonts w:ascii="Cambria Math" w:eastAsia="Cambria Math" w:hAnsi="Cambria Math" w:cs="Cambria Math"/>
              <w:sz w:val="28"/>
              <w:szCs w:val="28"/>
            </w:rPr>
            <m:t xml:space="preserve"> ,   S</m:t>
          </m:r>
          <m:d>
            <m:dPr>
              <m:ctrlPr>
                <w:rPr>
                  <w:rFonts w:ascii="Cambria Math" w:eastAsia="Cambria Math" w:hAnsi="Cambria Math" w:cs="Cambria Math"/>
                  <w:b/>
                  <w:bCs/>
                  <w:sz w:val="28"/>
                  <w:szCs w:val="28"/>
                </w:rPr>
              </m:ctrlPr>
            </m:dPr>
            <m:e>
              <m:sSub>
                <m:sSubPr>
                  <m:ctrlPr>
                    <w:rPr>
                      <w:rFonts w:ascii="Cambria Math" w:eastAsia="Cambria Math" w:hAnsi="Cambria Math" w:cs="Cambria Math"/>
                      <w:b/>
                      <w:bCs/>
                      <w:sz w:val="28"/>
                      <w:szCs w:val="28"/>
                    </w:rPr>
                  </m:ctrlPr>
                </m:sSubPr>
                <m:e>
                  <m:acc>
                    <m:accPr>
                      <m:ctrlPr>
                        <w:rPr>
                          <w:rFonts w:ascii="Cambria Math" w:eastAsia="Cambria Math" w:hAnsi="Cambria Math" w:cs="Cambria Math"/>
                          <w:b/>
                          <w:bCs/>
                          <w:sz w:val="28"/>
                          <w:szCs w:val="28"/>
                        </w:rPr>
                      </m:ctrlPr>
                    </m:accPr>
                    <m:e>
                      <m:r>
                        <m:rPr>
                          <m:sty m:val="bi"/>
                        </m:rPr>
                        <w:rPr>
                          <w:rFonts w:ascii="Cambria Math" w:eastAsia="Cambria Math" w:hAnsi="Cambria Math" w:cs="Cambria Math"/>
                          <w:sz w:val="28"/>
                          <w:szCs w:val="28"/>
                        </w:rPr>
                        <m:t>β</m:t>
                      </m:r>
                    </m:e>
                  </m:acc>
                </m:e>
                <m:sub>
                  <m:r>
                    <m:rPr>
                      <m:sty m:val="bi"/>
                    </m:rPr>
                    <w:rPr>
                      <w:rFonts w:ascii="Cambria Math" w:eastAsia="Cambria Math" w:hAnsi="Cambria Math" w:cs="Cambria Math"/>
                      <w:sz w:val="28"/>
                      <w:szCs w:val="28"/>
                    </w:rPr>
                    <m:t>0</m:t>
                  </m:r>
                </m:sub>
              </m:sSub>
            </m:e>
          </m:d>
          <m:r>
            <m:rPr>
              <m:sty m:val="bi"/>
            </m:rPr>
            <w:rPr>
              <w:rFonts w:ascii="Cambria Math" w:eastAsia="Cambria Math" w:hAnsi="Cambria Math" w:cs="Cambria Math"/>
              <w:sz w:val="28"/>
              <w:szCs w:val="28"/>
            </w:rPr>
            <m:t>=</m:t>
          </m:r>
          <m:sSubSup>
            <m:sSubSupPr>
              <m:ctrlPr>
                <w:rPr>
                  <w:rFonts w:ascii="Cambria Math" w:eastAsia="Cambria Math" w:hAnsi="Cambria Math" w:cs="Cambria Math"/>
                  <w:b/>
                  <w:bCs/>
                  <w:sz w:val="28"/>
                  <w:szCs w:val="28"/>
                </w:rPr>
              </m:ctrlPr>
            </m:sSubSupPr>
            <m:e>
              <m:r>
                <m:rPr>
                  <m:sty m:val="bi"/>
                </m:rPr>
                <w:rPr>
                  <w:rFonts w:ascii="Cambria Math" w:eastAsia="Cambria Math" w:hAnsi="Cambria Math" w:cs="Cambria Math"/>
                  <w:sz w:val="28"/>
                  <w:szCs w:val="28"/>
                </w:rPr>
                <m:t>σ</m:t>
              </m:r>
            </m:e>
            <m:sub>
              <m:r>
                <m:rPr>
                  <m:sty m:val="bi"/>
                </m:rPr>
                <w:rPr>
                  <w:rFonts w:ascii="Cambria Math" w:eastAsia="Cambria Math" w:hAnsi="Cambria Math" w:cs="Cambria Math"/>
                  <w:sz w:val="28"/>
                  <w:szCs w:val="28"/>
                </w:rPr>
                <m:t>u</m:t>
              </m:r>
            </m:sub>
            <m:sup>
              <m:r>
                <m:rPr>
                  <m:sty m:val="bi"/>
                </m:rPr>
                <w:rPr>
                  <w:rFonts w:ascii="Cambria Math" w:eastAsia="Cambria Math" w:hAnsi="Cambria Math" w:cs="Cambria Math"/>
                  <w:sz w:val="28"/>
                  <w:szCs w:val="28"/>
                </w:rPr>
                <m:t>2</m:t>
              </m:r>
            </m:sup>
          </m:sSubSup>
          <m:d>
            <m:dPr>
              <m:begChr m:val="["/>
              <m:endChr m:val="]"/>
              <m:ctrlPr>
                <w:rPr>
                  <w:rFonts w:ascii="Cambria Math" w:eastAsia="Cambria Math" w:hAnsi="Cambria Math" w:cs="Cambria Math"/>
                  <w:b/>
                  <w:bCs/>
                  <w:sz w:val="28"/>
                  <w:szCs w:val="28"/>
                </w:rPr>
              </m:ctrlPr>
            </m:dPr>
            <m:e>
              <m:f>
                <m:fPr>
                  <m:ctrlPr>
                    <w:rPr>
                      <w:rFonts w:ascii="Cambria Math" w:eastAsia="Cambria Math" w:hAnsi="Cambria Math" w:cs="Cambria Math"/>
                      <w:b/>
                      <w:bCs/>
                      <w:sz w:val="28"/>
                      <w:szCs w:val="28"/>
                    </w:rPr>
                  </m:ctrlPr>
                </m:fPr>
                <m:num>
                  <m:r>
                    <m:rPr>
                      <m:sty m:val="bi"/>
                    </m:rPr>
                    <w:rPr>
                      <w:rFonts w:ascii="Cambria Math" w:eastAsia="Cambria Math" w:hAnsi="Cambria Math" w:cs="Cambria Math"/>
                      <w:sz w:val="28"/>
                      <w:szCs w:val="28"/>
                    </w:rPr>
                    <m:t>1</m:t>
                  </m:r>
                </m:num>
                <m:den>
                  <m:r>
                    <m:rPr>
                      <m:sty m:val="bi"/>
                    </m:rPr>
                    <w:rPr>
                      <w:rFonts w:ascii="Cambria Math" w:eastAsia="Cambria Math" w:hAnsi="Cambria Math" w:cs="Cambria Math"/>
                      <w:sz w:val="28"/>
                      <w:szCs w:val="28"/>
                    </w:rPr>
                    <m:t>n</m:t>
                  </m:r>
                </m:den>
              </m:f>
              <m:r>
                <m:rPr>
                  <m:sty m:val="bi"/>
                </m:rPr>
                <w:rPr>
                  <w:rFonts w:ascii="Cambria Math" w:eastAsia="Cambria Math" w:hAnsi="Cambria Math" w:cs="Cambria Math"/>
                  <w:sz w:val="28"/>
                  <w:szCs w:val="28"/>
                </w:rPr>
                <m:t>+</m:t>
              </m:r>
              <m:f>
                <m:fPr>
                  <m:ctrlPr>
                    <w:rPr>
                      <w:rFonts w:ascii="Cambria Math" w:eastAsia="Cambria Math" w:hAnsi="Cambria Math" w:cs="Cambria Math"/>
                      <w:b/>
                      <w:bCs/>
                      <w:sz w:val="28"/>
                      <w:szCs w:val="28"/>
                    </w:rPr>
                  </m:ctrlPr>
                </m:fPr>
                <m:num>
                  <m:sSup>
                    <m:sSupPr>
                      <m:ctrlPr>
                        <w:rPr>
                          <w:rFonts w:ascii="Cambria Math" w:eastAsia="Cambria Math" w:hAnsi="Cambria Math" w:cs="Cambria Math"/>
                          <w:b/>
                          <w:bCs/>
                          <w:sz w:val="28"/>
                          <w:szCs w:val="28"/>
                        </w:rPr>
                      </m:ctrlPr>
                    </m:sSupPr>
                    <m:e>
                      <m:bar>
                        <m:barPr>
                          <m:ctrlPr>
                            <w:rPr>
                              <w:rFonts w:ascii="Cambria Math" w:eastAsia="Cambria Math" w:hAnsi="Cambria Math" w:cs="Cambria Math"/>
                              <w:b/>
                              <w:bCs/>
                              <w:color w:val="FFFFFF" w:themeColor="background1"/>
                              <w:sz w:val="28"/>
                              <w:szCs w:val="28"/>
                            </w:rPr>
                          </m:ctrlPr>
                        </m:barPr>
                        <m:e>
                          <m:r>
                            <m:rPr>
                              <m:sty m:val="bi"/>
                            </m:rPr>
                            <w:rPr>
                              <w:rFonts w:ascii="Cambria Math" w:eastAsia="Cambria Math" w:hAnsi="Cambria Math" w:cs="Cambria Math"/>
                              <w:sz w:val="28"/>
                              <w:szCs w:val="28"/>
                            </w:rPr>
                            <m:t>X</m:t>
                          </m:r>
                        </m:e>
                      </m:bar>
                    </m:e>
                    <m:sup>
                      <m:r>
                        <m:rPr>
                          <m:sty m:val="bi"/>
                        </m:rPr>
                        <w:rPr>
                          <w:rFonts w:ascii="Cambria Math" w:eastAsia="Cambria Math" w:hAnsi="Cambria Math" w:cs="Cambria Math"/>
                          <w:sz w:val="28"/>
                          <w:szCs w:val="28"/>
                        </w:rPr>
                        <m:t>2</m:t>
                      </m:r>
                    </m:sup>
                  </m:sSup>
                </m:num>
                <m:den>
                  <m:sSub>
                    <m:sSubPr>
                      <m:ctrlPr>
                        <w:rPr>
                          <w:rFonts w:ascii="Cambria Math" w:eastAsia="Cambria Math" w:hAnsi="Cambria Math" w:cs="Cambria Math"/>
                          <w:b/>
                          <w:bCs/>
                          <w:sz w:val="28"/>
                          <w:szCs w:val="28"/>
                        </w:rPr>
                      </m:ctrlPr>
                    </m:sSubPr>
                    <m:e>
                      <m:r>
                        <m:rPr>
                          <m:sty m:val="bi"/>
                        </m:rPr>
                        <w:rPr>
                          <w:rFonts w:ascii="Cambria Math" w:eastAsia="Cambria Math" w:hAnsi="Cambria Math" w:cs="Cambria Math"/>
                          <w:sz w:val="28"/>
                          <w:szCs w:val="28"/>
                        </w:rPr>
                        <m:t>S</m:t>
                      </m:r>
                    </m:e>
                    <m:sub>
                      <m:r>
                        <m:rPr>
                          <m:sty m:val="bi"/>
                        </m:rPr>
                        <w:rPr>
                          <w:rFonts w:ascii="Cambria Math" w:eastAsia="Cambria Math" w:hAnsi="Cambria Math" w:cs="Cambria Math"/>
                          <w:sz w:val="28"/>
                          <w:szCs w:val="28"/>
                        </w:rPr>
                        <m:t>xx</m:t>
                      </m:r>
                    </m:sub>
                  </m:sSub>
                </m:den>
              </m:f>
            </m:e>
          </m:d>
        </m:oMath>
      </m:oMathPara>
    </w:p>
    <w:p w:rsidR="00AE0C7B" w:rsidRDefault="00AE0C7B" w:rsidP="002B014D">
      <w:pPr>
        <w:bidi w:val="0"/>
        <w:jc w:val="mediumKashida"/>
        <w:rPr>
          <w:rFonts w:asciiTheme="majorBidi" w:hAnsiTheme="majorBidi" w:cstheme="majorBidi"/>
          <w:b/>
          <w:bCs/>
          <w:color w:val="0070C0"/>
          <w:sz w:val="24"/>
          <w:szCs w:val="24"/>
          <w:lang w:bidi="ar-IQ"/>
        </w:rPr>
      </w:pPr>
    </w:p>
    <w:p w:rsidR="002B014D" w:rsidRPr="001F7980" w:rsidRDefault="002B014D" w:rsidP="00AE0C7B">
      <w:pPr>
        <w:bidi w:val="0"/>
        <w:jc w:val="mediumKashida"/>
        <w:rPr>
          <w:rFonts w:asciiTheme="majorBidi" w:hAnsiTheme="majorBidi" w:cstheme="majorBidi"/>
          <w:b/>
          <w:bCs/>
          <w:color w:val="0070C0"/>
          <w:sz w:val="24"/>
          <w:szCs w:val="24"/>
          <w:lang w:bidi="ar-IQ"/>
        </w:rPr>
      </w:pPr>
      <w:r w:rsidRPr="001F7980">
        <w:rPr>
          <w:rFonts w:asciiTheme="majorBidi" w:hAnsiTheme="majorBidi" w:cstheme="majorBidi"/>
          <w:b/>
          <w:bCs/>
          <w:color w:val="0070C0"/>
          <w:sz w:val="24"/>
          <w:szCs w:val="24"/>
          <w:lang w:bidi="ar-IQ"/>
        </w:rPr>
        <w:t>A) - Analysis of the impact of the market value of Islamic banks on the market value of the total Iraqi market for securities:</w:t>
      </w:r>
    </w:p>
    <w:p w:rsidR="002B014D" w:rsidRPr="002B014D" w:rsidRDefault="002B014D" w:rsidP="002B014D">
      <w:pPr>
        <w:bidi w:val="0"/>
        <w:jc w:val="mediumKashida"/>
        <w:rPr>
          <w:rFonts w:asciiTheme="majorBidi" w:hAnsiTheme="majorBidi" w:cstheme="majorBidi"/>
          <w:sz w:val="24"/>
          <w:szCs w:val="24"/>
          <w:lang w:bidi="ar-IQ"/>
        </w:rPr>
      </w:pPr>
      <w:r w:rsidRPr="002B014D">
        <w:rPr>
          <w:rFonts w:asciiTheme="majorBidi" w:hAnsiTheme="majorBidi" w:cstheme="majorBidi"/>
          <w:sz w:val="24"/>
          <w:szCs w:val="24"/>
          <w:lang w:bidi="ar-IQ"/>
        </w:rPr>
        <w:t>For the purpose of analyzing the impact of the independent variable, the market value of Islamic banks on the dependent variable, the market value of the total Iraqi market for securities, and for the purpose of testing the hypothesis that:</w:t>
      </w:r>
    </w:p>
    <w:p w:rsidR="002B014D" w:rsidRPr="002B014D" w:rsidRDefault="002B014D" w:rsidP="002B014D">
      <w:pPr>
        <w:bidi w:val="0"/>
        <w:jc w:val="mediumKashida"/>
        <w:rPr>
          <w:rFonts w:asciiTheme="majorBidi" w:hAnsiTheme="majorBidi" w:cstheme="majorBidi"/>
          <w:sz w:val="24"/>
          <w:szCs w:val="24"/>
          <w:lang w:bidi="ar-IQ"/>
        </w:rPr>
      </w:pPr>
      <w:r w:rsidRPr="001F7980">
        <w:rPr>
          <w:rFonts w:asciiTheme="majorBidi" w:hAnsiTheme="majorBidi" w:cstheme="majorBidi"/>
          <w:b/>
          <w:bCs/>
          <w:color w:val="00B050"/>
          <w:sz w:val="24"/>
          <w:szCs w:val="24"/>
          <w:lang w:bidi="ar-IQ"/>
        </w:rPr>
        <w:t>H0:</w:t>
      </w:r>
      <w:r w:rsidRPr="002B014D">
        <w:rPr>
          <w:rFonts w:asciiTheme="majorBidi" w:hAnsiTheme="majorBidi" w:cstheme="majorBidi"/>
          <w:sz w:val="24"/>
          <w:szCs w:val="24"/>
          <w:lang w:bidi="ar-IQ"/>
        </w:rPr>
        <w:t xml:space="preserve"> There is no significant effect of the variable market value of Islamic banks on the dependent variable, the market value of the total Iraqi market for securities.</w:t>
      </w:r>
    </w:p>
    <w:p w:rsidR="002B014D" w:rsidRPr="002B014D" w:rsidRDefault="002B014D" w:rsidP="002B014D">
      <w:pPr>
        <w:bidi w:val="0"/>
        <w:jc w:val="mediumKashida"/>
        <w:rPr>
          <w:rFonts w:asciiTheme="majorBidi" w:hAnsiTheme="majorBidi" w:cstheme="majorBidi"/>
          <w:sz w:val="24"/>
          <w:szCs w:val="24"/>
          <w:lang w:bidi="ar-IQ"/>
        </w:rPr>
      </w:pPr>
      <w:r w:rsidRPr="001F7980">
        <w:rPr>
          <w:rFonts w:asciiTheme="majorBidi" w:hAnsiTheme="majorBidi" w:cstheme="majorBidi"/>
          <w:b/>
          <w:bCs/>
          <w:color w:val="00B050"/>
          <w:sz w:val="24"/>
          <w:szCs w:val="24"/>
          <w:lang w:bidi="ar-IQ"/>
        </w:rPr>
        <w:lastRenderedPageBreak/>
        <w:t>H1:</w:t>
      </w:r>
      <w:r w:rsidRPr="002B014D">
        <w:rPr>
          <w:rFonts w:asciiTheme="majorBidi" w:hAnsiTheme="majorBidi" w:cstheme="majorBidi"/>
          <w:sz w:val="24"/>
          <w:szCs w:val="24"/>
          <w:lang w:bidi="ar-IQ"/>
        </w:rPr>
        <w:t xml:space="preserve"> There is a significant effect of the market value variable of Islamic banks on the dependent variable, the market value of the total Iraqi stock market.</w:t>
      </w:r>
    </w:p>
    <w:p w:rsidR="002B014D" w:rsidRPr="002B014D" w:rsidRDefault="002B014D" w:rsidP="00022949">
      <w:pPr>
        <w:bidi w:val="0"/>
        <w:spacing w:after="0"/>
        <w:jc w:val="mediumKashida"/>
        <w:rPr>
          <w:rFonts w:asciiTheme="majorBidi" w:hAnsiTheme="majorBidi" w:cstheme="majorBidi"/>
          <w:sz w:val="24"/>
          <w:szCs w:val="24"/>
          <w:lang w:bidi="ar-IQ"/>
        </w:rPr>
      </w:pPr>
      <w:r w:rsidRPr="002B014D">
        <w:rPr>
          <w:rFonts w:asciiTheme="majorBidi" w:hAnsiTheme="majorBidi" w:cstheme="majorBidi"/>
          <w:sz w:val="24"/>
          <w:szCs w:val="24"/>
          <w:lang w:bidi="ar-IQ"/>
        </w:rPr>
        <w:t>If the following results are obtained:</w:t>
      </w:r>
    </w:p>
    <w:p w:rsidR="002B014D" w:rsidRPr="002B014D" w:rsidRDefault="002B014D" w:rsidP="00022949">
      <w:pPr>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Table (5)</w:t>
      </w:r>
    </w:p>
    <w:p w:rsidR="002B014D" w:rsidRDefault="002B014D" w:rsidP="00022949">
      <w:pPr>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The effect of the market value of Islamic banks on the market value of the total Iraqi stock market</w:t>
      </w:r>
    </w:p>
    <w:tbl>
      <w:tblPr>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85"/>
        <w:gridCol w:w="1860"/>
        <w:gridCol w:w="1710"/>
        <w:gridCol w:w="1080"/>
        <w:gridCol w:w="1015"/>
      </w:tblGrid>
      <w:tr w:rsidR="002B014D" w:rsidRPr="000E61EA" w:rsidTr="002B014D">
        <w:trPr>
          <w:trHeight w:val="576"/>
        </w:trPr>
        <w:tc>
          <w:tcPr>
            <w:tcW w:w="3385" w:type="dxa"/>
            <w:shd w:val="clear" w:color="auto" w:fill="D9D9D9"/>
            <w:vAlign w:val="center"/>
          </w:tcPr>
          <w:p w:rsidR="002B014D" w:rsidRPr="000E61EA" w:rsidRDefault="002B014D" w:rsidP="002B014D">
            <w:pPr>
              <w:pStyle w:val="normal"/>
              <w:spacing w:after="0" w:line="360" w:lineRule="auto"/>
              <w:rPr>
                <w:rFonts w:asciiTheme="majorBidi" w:hAnsiTheme="majorBidi" w:cstheme="majorBidi"/>
                <w:b/>
                <w:sz w:val="24"/>
                <w:szCs w:val="24"/>
              </w:rPr>
            </w:pPr>
          </w:p>
        </w:tc>
        <w:tc>
          <w:tcPr>
            <w:tcW w:w="1860" w:type="dxa"/>
            <w:shd w:val="clear" w:color="auto" w:fill="D9D9D9"/>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B</w:t>
            </w:r>
          </w:p>
        </w:tc>
        <w:tc>
          <w:tcPr>
            <w:tcW w:w="1710" w:type="dxa"/>
            <w:shd w:val="clear" w:color="auto" w:fill="D9D9D9"/>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Std. Error</w:t>
            </w:r>
          </w:p>
        </w:tc>
        <w:tc>
          <w:tcPr>
            <w:tcW w:w="1080" w:type="dxa"/>
            <w:shd w:val="clear" w:color="auto" w:fill="D9D9D9"/>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T</w:t>
            </w:r>
          </w:p>
        </w:tc>
        <w:tc>
          <w:tcPr>
            <w:tcW w:w="1015" w:type="dxa"/>
            <w:shd w:val="clear" w:color="auto" w:fill="D9D9D9"/>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Sig.</w:t>
            </w:r>
          </w:p>
        </w:tc>
      </w:tr>
      <w:tr w:rsidR="002B014D" w:rsidRPr="000E61EA" w:rsidTr="002B014D">
        <w:trPr>
          <w:trHeight w:val="576"/>
        </w:trPr>
        <w:tc>
          <w:tcPr>
            <w:tcW w:w="3385" w:type="dxa"/>
            <w:shd w:val="clear" w:color="auto" w:fill="D9D9D9"/>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(Constant)</w:t>
            </w:r>
          </w:p>
        </w:tc>
        <w:tc>
          <w:tcPr>
            <w:tcW w:w="186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2793127.698</w:t>
            </w:r>
          </w:p>
        </w:tc>
        <w:tc>
          <w:tcPr>
            <w:tcW w:w="171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536116.553</w:t>
            </w:r>
          </w:p>
        </w:tc>
        <w:tc>
          <w:tcPr>
            <w:tcW w:w="108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5.210</w:t>
            </w:r>
          </w:p>
        </w:tc>
        <w:tc>
          <w:tcPr>
            <w:tcW w:w="1015"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0.000</w:t>
            </w:r>
          </w:p>
        </w:tc>
      </w:tr>
      <w:tr w:rsidR="002B014D" w:rsidRPr="000E61EA" w:rsidTr="002B014D">
        <w:trPr>
          <w:trHeight w:val="576"/>
        </w:trPr>
        <w:tc>
          <w:tcPr>
            <w:tcW w:w="3385" w:type="dxa"/>
            <w:shd w:val="clear" w:color="auto" w:fill="D9D9D9"/>
            <w:vAlign w:val="center"/>
          </w:tcPr>
          <w:p w:rsidR="002B014D" w:rsidRPr="00211E8D" w:rsidRDefault="002B014D" w:rsidP="002B014D">
            <w:pPr>
              <w:pStyle w:val="normal"/>
              <w:spacing w:after="0" w:line="360" w:lineRule="auto"/>
              <w:ind w:left="60" w:right="60"/>
              <w:rPr>
                <w:rFonts w:asciiTheme="majorBidi" w:hAnsiTheme="majorBidi" w:cstheme="majorBidi"/>
                <w:bCs/>
                <w:color w:val="000000"/>
                <w:sz w:val="24"/>
                <w:szCs w:val="24"/>
                <w:lang w:bidi="ar-IQ"/>
              </w:rPr>
            </w:pPr>
            <w:r w:rsidRPr="002B014D">
              <w:rPr>
                <w:rFonts w:asciiTheme="majorBidi" w:hAnsiTheme="majorBidi" w:cstheme="majorBidi"/>
                <w:bCs/>
                <w:color w:val="000000"/>
                <w:sz w:val="24"/>
                <w:szCs w:val="24"/>
              </w:rPr>
              <w:t>Market value of Islamic banks</w:t>
            </w:r>
          </w:p>
        </w:tc>
        <w:tc>
          <w:tcPr>
            <w:tcW w:w="186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3.122</w:t>
            </w:r>
          </w:p>
        </w:tc>
        <w:tc>
          <w:tcPr>
            <w:tcW w:w="171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0.441</w:t>
            </w:r>
          </w:p>
        </w:tc>
        <w:tc>
          <w:tcPr>
            <w:tcW w:w="1080"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7.084</w:t>
            </w:r>
          </w:p>
        </w:tc>
        <w:tc>
          <w:tcPr>
            <w:tcW w:w="1015" w:type="dxa"/>
            <w:vAlign w:val="center"/>
          </w:tcPr>
          <w:p w:rsidR="002B014D" w:rsidRPr="000E61EA" w:rsidRDefault="002B014D" w:rsidP="002B014D">
            <w:pPr>
              <w:pStyle w:val="normal"/>
              <w:spacing w:after="0" w:line="360" w:lineRule="auto"/>
              <w:ind w:left="60" w:right="60"/>
              <w:rPr>
                <w:rFonts w:asciiTheme="majorBidi" w:hAnsiTheme="majorBidi" w:cstheme="majorBidi"/>
                <w:b/>
                <w:color w:val="000000"/>
                <w:sz w:val="24"/>
                <w:szCs w:val="24"/>
              </w:rPr>
            </w:pPr>
            <w:r w:rsidRPr="000E61EA">
              <w:rPr>
                <w:rFonts w:asciiTheme="majorBidi" w:hAnsiTheme="majorBidi" w:cstheme="majorBidi"/>
                <w:b/>
                <w:color w:val="000000"/>
                <w:sz w:val="24"/>
                <w:szCs w:val="24"/>
              </w:rPr>
              <w:t>0.000</w:t>
            </w:r>
          </w:p>
        </w:tc>
      </w:tr>
    </w:tbl>
    <w:p w:rsidR="002B014D" w:rsidRPr="002B014D" w:rsidRDefault="002B014D" w:rsidP="002B014D">
      <w:pPr>
        <w:bidi w:val="0"/>
        <w:spacing w:after="0"/>
        <w:rPr>
          <w:rFonts w:asciiTheme="majorBidi" w:hAnsiTheme="majorBidi" w:cstheme="majorBidi"/>
          <w:b/>
          <w:bCs/>
          <w:sz w:val="16"/>
          <w:szCs w:val="16"/>
          <w:lang w:bidi="ar-IQ"/>
        </w:rPr>
      </w:pPr>
    </w:p>
    <w:p w:rsidR="002B014D" w:rsidRDefault="002B014D" w:rsidP="002B014D">
      <w:pPr>
        <w:bidi w:val="0"/>
        <w:spacing w:after="0"/>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Source: Statistical Program</w:t>
      </w:r>
      <w:r>
        <w:rPr>
          <w:rFonts w:asciiTheme="majorBidi" w:hAnsiTheme="majorBidi" w:cstheme="majorBidi"/>
          <w:b/>
          <w:bCs/>
          <w:sz w:val="24"/>
          <w:szCs w:val="24"/>
          <w:lang w:bidi="ar-IQ"/>
        </w:rPr>
        <w:t xml:space="preserve"> </w:t>
      </w:r>
      <w:r w:rsidRPr="002B014D">
        <w:rPr>
          <w:rFonts w:asciiTheme="majorBidi" w:hAnsiTheme="majorBidi" w:cstheme="majorBidi"/>
          <w:b/>
          <w:bCs/>
          <w:sz w:val="24"/>
          <w:szCs w:val="24"/>
          <w:lang w:bidi="ar-IQ"/>
        </w:rPr>
        <w:t>.</w:t>
      </w:r>
    </w:p>
    <w:p w:rsidR="002B014D" w:rsidRPr="002B014D" w:rsidRDefault="001F7980" w:rsidP="002B014D">
      <w:pPr>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 xml:space="preserve"> is noted from Table (5) that the calculated value of the marginal slope parameter of the model is (3.122), which shows that the change in the independent variable (the market value of Islamic banks) by one unit leads to the change of the dependent variable (the market value of the total Iraqi market for securities) by (3.122) And the standard error of the estimated parameter is (0.441), which is a small value. Also, the calculated value of the test statistic (t) was (7.084), and when we note the corresponding value in the column (Sig.), we note that this value is significant, which means rejecting the null hypothesis (H0) and accepting the alternative hypothesis (H1), meaning that there is a significant effect of the value variable The market value of Islamic banks depends on the dependent variable, the market value of the total Iraqi market for securities. Also, the value of the fixed limit was (2793127,698), and this value was also significant.</w:t>
      </w:r>
    </w:p>
    <w:p w:rsidR="002B014D" w:rsidRPr="002B014D" w:rsidRDefault="002B014D" w:rsidP="002B014D">
      <w:pPr>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Table ( 6 )</w:t>
      </w:r>
    </w:p>
    <w:p w:rsidR="002B014D" w:rsidRDefault="002B014D" w:rsidP="002B014D">
      <w:pPr>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The coefficient of determination and the calculated F-value to test the significance of the model</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7"/>
        <w:gridCol w:w="2337"/>
        <w:gridCol w:w="2338"/>
        <w:gridCol w:w="2338"/>
      </w:tblGrid>
      <w:tr w:rsidR="002B014D" w:rsidRPr="004433E2" w:rsidTr="00022949">
        <w:trPr>
          <w:jc w:val="center"/>
        </w:trPr>
        <w:tc>
          <w:tcPr>
            <w:tcW w:w="2337" w:type="dxa"/>
            <w:shd w:val="clear" w:color="auto" w:fill="D9D9D9"/>
            <w:vAlign w:val="center"/>
          </w:tcPr>
          <w:p w:rsidR="002B014D" w:rsidRPr="004433E2" w:rsidRDefault="002B014D" w:rsidP="00022949">
            <w:pPr>
              <w:pStyle w:val="normal"/>
              <w:spacing w:line="276" w:lineRule="auto"/>
              <w:ind w:left="60" w:right="60"/>
              <w:jc w:val="lowKashida"/>
              <w:rPr>
                <w:rFonts w:asciiTheme="majorBidi" w:hAnsiTheme="majorBidi" w:cstheme="majorBidi"/>
                <w:bCs/>
                <w:color w:val="000000"/>
                <w:sz w:val="28"/>
                <w:szCs w:val="28"/>
              </w:rPr>
            </w:pPr>
            <w:r w:rsidRPr="004433E2">
              <w:rPr>
                <w:rFonts w:asciiTheme="majorBidi" w:hAnsiTheme="majorBidi" w:cstheme="majorBidi"/>
                <w:bCs/>
                <w:color w:val="000000"/>
                <w:sz w:val="28"/>
                <w:szCs w:val="28"/>
              </w:rPr>
              <w:t>R</w:t>
            </w:r>
          </w:p>
        </w:tc>
        <w:tc>
          <w:tcPr>
            <w:tcW w:w="2337" w:type="dxa"/>
            <w:shd w:val="clear" w:color="auto" w:fill="D9D9D9"/>
            <w:vAlign w:val="center"/>
          </w:tcPr>
          <w:p w:rsidR="002B014D" w:rsidRPr="004433E2" w:rsidRDefault="002B014D" w:rsidP="00022949">
            <w:pPr>
              <w:pStyle w:val="normal"/>
              <w:spacing w:line="276" w:lineRule="auto"/>
              <w:ind w:left="60" w:right="60"/>
              <w:jc w:val="lowKashida"/>
              <w:rPr>
                <w:rFonts w:asciiTheme="majorBidi" w:hAnsiTheme="majorBidi" w:cstheme="majorBidi"/>
                <w:bCs/>
                <w:color w:val="000000"/>
                <w:sz w:val="28"/>
                <w:szCs w:val="28"/>
              </w:rPr>
            </w:pPr>
            <w:r w:rsidRPr="004433E2">
              <w:rPr>
                <w:rFonts w:asciiTheme="majorBidi" w:hAnsiTheme="majorBidi" w:cstheme="majorBidi"/>
                <w:bCs/>
                <w:color w:val="000000"/>
                <w:sz w:val="28"/>
                <w:szCs w:val="28"/>
              </w:rPr>
              <w:t>R Square</w:t>
            </w:r>
          </w:p>
        </w:tc>
        <w:tc>
          <w:tcPr>
            <w:tcW w:w="2338" w:type="dxa"/>
            <w:shd w:val="clear" w:color="auto" w:fill="D9D9D9"/>
            <w:vAlign w:val="center"/>
          </w:tcPr>
          <w:p w:rsidR="002B014D" w:rsidRPr="004433E2" w:rsidRDefault="002B014D" w:rsidP="00022949">
            <w:pPr>
              <w:pStyle w:val="normal"/>
              <w:spacing w:line="276" w:lineRule="auto"/>
              <w:ind w:left="60" w:right="60"/>
              <w:jc w:val="lowKashida"/>
              <w:rPr>
                <w:rFonts w:asciiTheme="majorBidi" w:hAnsiTheme="majorBidi" w:cstheme="majorBidi"/>
                <w:bCs/>
                <w:color w:val="000000"/>
                <w:sz w:val="28"/>
                <w:szCs w:val="28"/>
              </w:rPr>
            </w:pPr>
            <w:r w:rsidRPr="004433E2">
              <w:rPr>
                <w:rFonts w:asciiTheme="majorBidi" w:hAnsiTheme="majorBidi" w:cstheme="majorBidi"/>
                <w:bCs/>
                <w:color w:val="000000"/>
                <w:sz w:val="28"/>
                <w:szCs w:val="28"/>
              </w:rPr>
              <w:t>F</w:t>
            </w:r>
          </w:p>
        </w:tc>
        <w:tc>
          <w:tcPr>
            <w:tcW w:w="2338" w:type="dxa"/>
            <w:shd w:val="clear" w:color="auto" w:fill="D9D9D9"/>
            <w:vAlign w:val="center"/>
          </w:tcPr>
          <w:p w:rsidR="002B014D" w:rsidRPr="004433E2" w:rsidRDefault="002B014D" w:rsidP="00022949">
            <w:pPr>
              <w:pStyle w:val="normal"/>
              <w:spacing w:line="276" w:lineRule="auto"/>
              <w:ind w:left="60" w:right="60"/>
              <w:jc w:val="lowKashida"/>
              <w:rPr>
                <w:rFonts w:asciiTheme="majorBidi" w:hAnsiTheme="majorBidi" w:cstheme="majorBidi"/>
                <w:bCs/>
                <w:color w:val="000000"/>
                <w:sz w:val="28"/>
                <w:szCs w:val="28"/>
              </w:rPr>
            </w:pPr>
            <w:r w:rsidRPr="004433E2">
              <w:rPr>
                <w:rFonts w:asciiTheme="majorBidi" w:hAnsiTheme="majorBidi" w:cstheme="majorBidi"/>
                <w:bCs/>
                <w:color w:val="000000"/>
                <w:sz w:val="28"/>
                <w:szCs w:val="28"/>
              </w:rPr>
              <w:t>Sig.</w:t>
            </w:r>
          </w:p>
        </w:tc>
      </w:tr>
      <w:tr w:rsidR="002B014D" w:rsidRPr="004433E2" w:rsidTr="00022949">
        <w:trPr>
          <w:jc w:val="center"/>
        </w:trPr>
        <w:tc>
          <w:tcPr>
            <w:tcW w:w="2337" w:type="dxa"/>
            <w:vAlign w:val="center"/>
          </w:tcPr>
          <w:p w:rsidR="002B014D" w:rsidRPr="004433E2" w:rsidRDefault="002B014D" w:rsidP="00022949">
            <w:pPr>
              <w:pStyle w:val="normal"/>
              <w:spacing w:line="276"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0.891</w:t>
            </w:r>
          </w:p>
        </w:tc>
        <w:tc>
          <w:tcPr>
            <w:tcW w:w="2337" w:type="dxa"/>
            <w:vAlign w:val="center"/>
          </w:tcPr>
          <w:p w:rsidR="002B014D" w:rsidRPr="004433E2" w:rsidRDefault="002B014D" w:rsidP="00022949">
            <w:pPr>
              <w:pStyle w:val="normal"/>
              <w:spacing w:line="276"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0.794</w:t>
            </w:r>
          </w:p>
        </w:tc>
        <w:tc>
          <w:tcPr>
            <w:tcW w:w="2338" w:type="dxa"/>
            <w:vAlign w:val="center"/>
          </w:tcPr>
          <w:p w:rsidR="002B014D" w:rsidRPr="004433E2" w:rsidRDefault="002B014D" w:rsidP="00022949">
            <w:pPr>
              <w:pStyle w:val="normal"/>
              <w:spacing w:line="276"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50.189</w:t>
            </w:r>
          </w:p>
        </w:tc>
        <w:tc>
          <w:tcPr>
            <w:tcW w:w="2338" w:type="dxa"/>
            <w:vAlign w:val="center"/>
          </w:tcPr>
          <w:p w:rsidR="002B014D" w:rsidRPr="004433E2" w:rsidRDefault="002B014D" w:rsidP="00022949">
            <w:pPr>
              <w:pStyle w:val="normal"/>
              <w:spacing w:line="276"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0.000</w:t>
            </w:r>
          </w:p>
        </w:tc>
      </w:tr>
    </w:tbl>
    <w:p w:rsidR="002B014D" w:rsidRPr="002B014D" w:rsidRDefault="002B014D" w:rsidP="002B014D">
      <w:pPr>
        <w:tabs>
          <w:tab w:val="left" w:pos="462"/>
        </w:tabs>
        <w:bidi w:val="0"/>
        <w:spacing w:after="0"/>
        <w:rPr>
          <w:rFonts w:asciiTheme="majorBidi" w:hAnsiTheme="majorBidi" w:cstheme="majorBidi"/>
          <w:b/>
          <w:bCs/>
          <w:sz w:val="16"/>
          <w:szCs w:val="16"/>
          <w:lang w:bidi="ar-IQ"/>
        </w:rPr>
      </w:pPr>
    </w:p>
    <w:p w:rsidR="002B014D" w:rsidRDefault="002B014D" w:rsidP="002B014D">
      <w:pPr>
        <w:tabs>
          <w:tab w:val="left" w:pos="462"/>
        </w:tabs>
        <w:bidi w:val="0"/>
        <w:spacing w:after="0"/>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Source: From the results of the statistical program.</w:t>
      </w:r>
    </w:p>
    <w:p w:rsidR="002B014D" w:rsidRDefault="002B014D" w:rsidP="002B014D">
      <w:pPr>
        <w:tabs>
          <w:tab w:val="left" w:pos="462"/>
        </w:tabs>
        <w:bidi w:val="0"/>
        <w:spacing w:after="0"/>
        <w:rPr>
          <w:rFonts w:asciiTheme="majorBidi" w:hAnsiTheme="majorBidi" w:cstheme="majorBidi"/>
          <w:b/>
          <w:bCs/>
          <w:sz w:val="24"/>
          <w:szCs w:val="24"/>
          <w:lang w:bidi="ar-IQ"/>
        </w:rPr>
      </w:pPr>
    </w:p>
    <w:p w:rsidR="002B014D" w:rsidRDefault="001F7980" w:rsidP="00932887">
      <w:pPr>
        <w:tabs>
          <w:tab w:val="left" w:pos="462"/>
        </w:tabs>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2B014D" w:rsidRPr="002B014D">
        <w:rPr>
          <w:rFonts w:asciiTheme="majorBidi" w:hAnsiTheme="majorBidi" w:cstheme="majorBidi"/>
          <w:sz w:val="24"/>
          <w:szCs w:val="24"/>
          <w:lang w:bidi="ar-IQ"/>
        </w:rPr>
        <w:t xml:space="preserve">Through Table (6) it is clear that the value of the coefficient of determination (R2) was equal to (0.794), which indicates that the independent variable (the market value of Islamic banks) was able to explain about 80% of the change in the approved variable (the market value of the total Iraqi stock market) In addition, the calculated value of the (F) test in Table (19), which is (50.189), is a large value, and we note that it is </w:t>
      </w:r>
      <w:r w:rsidR="00932887" w:rsidRPr="00932887">
        <w:rPr>
          <w:rFonts w:asciiTheme="majorBidi" w:hAnsiTheme="majorBidi" w:cstheme="majorBidi"/>
          <w:sz w:val="24"/>
          <w:szCs w:val="24"/>
          <w:lang w:bidi="ar-IQ"/>
        </w:rPr>
        <w:t>incorporeal</w:t>
      </w:r>
      <w:r w:rsidR="002B014D" w:rsidRPr="002B014D">
        <w:rPr>
          <w:rFonts w:asciiTheme="majorBidi" w:hAnsiTheme="majorBidi" w:cstheme="majorBidi"/>
          <w:sz w:val="24"/>
          <w:szCs w:val="24"/>
          <w:lang w:bidi="ar-IQ"/>
        </w:rPr>
        <w:t>, according to the value in the column (Sig.), which is equal to (0.000), which indicates the significance of the assumed linear relationship between The dependent variable and the independent variable.</w:t>
      </w:r>
    </w:p>
    <w:p w:rsidR="001F7980" w:rsidRPr="002B014D" w:rsidRDefault="001F7980" w:rsidP="001F7980">
      <w:pPr>
        <w:tabs>
          <w:tab w:val="left" w:pos="462"/>
        </w:tabs>
        <w:bidi w:val="0"/>
        <w:spacing w:after="0"/>
        <w:jc w:val="mediumKashida"/>
        <w:rPr>
          <w:rFonts w:asciiTheme="majorBidi" w:hAnsiTheme="majorBidi" w:cstheme="majorBidi"/>
          <w:sz w:val="24"/>
          <w:szCs w:val="24"/>
          <w:lang w:bidi="ar-IQ"/>
        </w:rPr>
      </w:pPr>
    </w:p>
    <w:p w:rsidR="002B014D" w:rsidRPr="001F7980" w:rsidRDefault="002B014D" w:rsidP="002B014D">
      <w:pPr>
        <w:tabs>
          <w:tab w:val="left" w:pos="462"/>
        </w:tabs>
        <w:bidi w:val="0"/>
        <w:spacing w:after="0"/>
        <w:jc w:val="mediumKashida"/>
        <w:rPr>
          <w:rFonts w:asciiTheme="majorBidi" w:hAnsiTheme="majorBidi" w:cstheme="majorBidi"/>
          <w:b/>
          <w:bCs/>
          <w:color w:val="0070C0"/>
          <w:sz w:val="24"/>
          <w:szCs w:val="24"/>
          <w:lang w:bidi="ar-IQ"/>
        </w:rPr>
      </w:pPr>
      <w:r w:rsidRPr="001F7980">
        <w:rPr>
          <w:rFonts w:asciiTheme="majorBidi" w:hAnsiTheme="majorBidi" w:cstheme="majorBidi"/>
          <w:b/>
          <w:bCs/>
          <w:color w:val="0070C0"/>
          <w:sz w:val="24"/>
          <w:szCs w:val="24"/>
          <w:lang w:bidi="ar-IQ"/>
        </w:rPr>
        <w:lastRenderedPageBreak/>
        <w:t>B) - Analysis of the impact of the trading volume of Islamic banks on the trading volume of the total Iraqi Stock Exchange:</w:t>
      </w:r>
    </w:p>
    <w:p w:rsidR="002B014D" w:rsidRPr="002B014D" w:rsidRDefault="002B014D" w:rsidP="002B014D">
      <w:pPr>
        <w:tabs>
          <w:tab w:val="left" w:pos="462"/>
        </w:tabs>
        <w:bidi w:val="0"/>
        <w:spacing w:after="0"/>
        <w:jc w:val="mediumKashida"/>
        <w:rPr>
          <w:rFonts w:asciiTheme="majorBidi" w:hAnsiTheme="majorBidi" w:cstheme="majorBidi"/>
          <w:sz w:val="24"/>
          <w:szCs w:val="24"/>
          <w:lang w:bidi="ar-IQ"/>
        </w:rPr>
      </w:pPr>
      <w:r w:rsidRPr="002B014D">
        <w:rPr>
          <w:rFonts w:asciiTheme="majorBidi" w:hAnsiTheme="majorBidi" w:cstheme="majorBidi"/>
          <w:sz w:val="24"/>
          <w:szCs w:val="24"/>
          <w:lang w:bidi="ar-IQ"/>
        </w:rPr>
        <w:t>For the purpose of analyzing the effect of the independent variable, the trading volume of Islamic banks on the dependent variable, the trading volume of the total Iraqi stock market, and for the purpose of testing the hypothesis that</w:t>
      </w:r>
    </w:p>
    <w:p w:rsidR="002B014D" w:rsidRPr="002B014D" w:rsidRDefault="002B014D" w:rsidP="002B014D">
      <w:pPr>
        <w:tabs>
          <w:tab w:val="left" w:pos="462"/>
        </w:tabs>
        <w:bidi w:val="0"/>
        <w:spacing w:after="0"/>
        <w:jc w:val="mediumKashida"/>
        <w:rPr>
          <w:rFonts w:asciiTheme="majorBidi" w:hAnsiTheme="majorBidi" w:cstheme="majorBidi"/>
          <w:sz w:val="24"/>
          <w:szCs w:val="24"/>
          <w:lang w:bidi="ar-IQ"/>
        </w:rPr>
      </w:pPr>
      <w:r w:rsidRPr="001F7980">
        <w:rPr>
          <w:rFonts w:asciiTheme="majorBidi" w:hAnsiTheme="majorBidi" w:cstheme="majorBidi"/>
          <w:b/>
          <w:bCs/>
          <w:color w:val="00B050"/>
          <w:sz w:val="24"/>
          <w:szCs w:val="24"/>
          <w:lang w:bidi="ar-IQ"/>
        </w:rPr>
        <w:t>H0:</w:t>
      </w:r>
      <w:r w:rsidRPr="002B014D">
        <w:rPr>
          <w:rFonts w:asciiTheme="majorBidi" w:hAnsiTheme="majorBidi" w:cstheme="majorBidi"/>
          <w:sz w:val="24"/>
          <w:szCs w:val="24"/>
          <w:lang w:bidi="ar-IQ"/>
        </w:rPr>
        <w:t xml:space="preserve"> There is no effect of the independent variable, the trading volume of Islamic banks, on the dependent variable, the trading volume of the total Iraqi stock exchange.</w:t>
      </w:r>
    </w:p>
    <w:p w:rsidR="002B014D" w:rsidRDefault="002B014D" w:rsidP="002B014D">
      <w:pPr>
        <w:tabs>
          <w:tab w:val="left" w:pos="462"/>
        </w:tabs>
        <w:bidi w:val="0"/>
        <w:spacing w:after="0"/>
        <w:jc w:val="mediumKashida"/>
        <w:rPr>
          <w:rFonts w:asciiTheme="majorBidi" w:hAnsiTheme="majorBidi" w:cstheme="majorBidi"/>
          <w:sz w:val="24"/>
          <w:szCs w:val="24"/>
          <w:lang w:bidi="ar-IQ"/>
        </w:rPr>
      </w:pPr>
      <w:r w:rsidRPr="001F7980">
        <w:rPr>
          <w:rFonts w:asciiTheme="majorBidi" w:hAnsiTheme="majorBidi" w:cstheme="majorBidi"/>
          <w:b/>
          <w:bCs/>
          <w:color w:val="00B050"/>
          <w:sz w:val="24"/>
          <w:szCs w:val="24"/>
          <w:lang w:bidi="ar-IQ"/>
        </w:rPr>
        <w:t>H1:</w:t>
      </w:r>
      <w:r w:rsidRPr="002B014D">
        <w:rPr>
          <w:rFonts w:asciiTheme="majorBidi" w:hAnsiTheme="majorBidi" w:cstheme="majorBidi"/>
          <w:sz w:val="24"/>
          <w:szCs w:val="24"/>
          <w:lang w:bidi="ar-IQ"/>
        </w:rPr>
        <w:t xml:space="preserve"> There is an effect of the independent variable, the trading volume of Islamic banks, on the dependent variable, the trading volume of the total Iraqi stock exchange.</w:t>
      </w:r>
    </w:p>
    <w:p w:rsidR="002B014D" w:rsidRDefault="002B014D" w:rsidP="002B014D">
      <w:pPr>
        <w:tabs>
          <w:tab w:val="left" w:pos="462"/>
        </w:tabs>
        <w:bidi w:val="0"/>
        <w:spacing w:after="0"/>
        <w:jc w:val="mediumKashida"/>
        <w:rPr>
          <w:rFonts w:asciiTheme="majorBidi" w:hAnsiTheme="majorBidi" w:cstheme="majorBidi"/>
          <w:sz w:val="24"/>
          <w:szCs w:val="24"/>
          <w:lang w:bidi="ar-IQ"/>
        </w:rPr>
      </w:pPr>
      <w:r w:rsidRPr="00CA06ED">
        <w:rPr>
          <w:rFonts w:asciiTheme="majorBidi" w:hAnsiTheme="majorBidi" w:cstheme="majorBidi"/>
          <w:sz w:val="24"/>
          <w:szCs w:val="24"/>
          <w:lang w:bidi="ar-IQ"/>
        </w:rPr>
        <w:t>If the following results are obtained:</w:t>
      </w:r>
    </w:p>
    <w:p w:rsidR="004279C5" w:rsidRDefault="004279C5" w:rsidP="004279C5">
      <w:pPr>
        <w:tabs>
          <w:tab w:val="left" w:pos="462"/>
        </w:tabs>
        <w:bidi w:val="0"/>
        <w:spacing w:after="0"/>
        <w:jc w:val="mediumKashida"/>
        <w:rPr>
          <w:rFonts w:asciiTheme="majorBidi" w:hAnsiTheme="majorBidi" w:cstheme="majorBidi"/>
          <w:sz w:val="24"/>
          <w:szCs w:val="24"/>
          <w:lang w:bidi="ar-IQ"/>
        </w:rPr>
      </w:pPr>
    </w:p>
    <w:p w:rsidR="002B014D" w:rsidRPr="002B014D" w:rsidRDefault="002B014D" w:rsidP="002B014D">
      <w:pPr>
        <w:tabs>
          <w:tab w:val="left" w:pos="462"/>
        </w:tabs>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Table (7)</w:t>
      </w:r>
    </w:p>
    <w:p w:rsidR="002B014D" w:rsidRPr="002B014D" w:rsidRDefault="002B014D" w:rsidP="002B014D">
      <w:pPr>
        <w:tabs>
          <w:tab w:val="left" w:pos="462"/>
        </w:tabs>
        <w:bidi w:val="0"/>
        <w:spacing w:after="0"/>
        <w:jc w:val="center"/>
        <w:rPr>
          <w:rFonts w:asciiTheme="majorBidi" w:hAnsiTheme="majorBidi" w:cstheme="majorBidi"/>
          <w:b/>
          <w:bCs/>
          <w:sz w:val="24"/>
          <w:szCs w:val="24"/>
          <w:lang w:bidi="ar-IQ"/>
        </w:rPr>
      </w:pPr>
      <w:r w:rsidRPr="002B014D">
        <w:rPr>
          <w:rFonts w:asciiTheme="majorBidi" w:hAnsiTheme="majorBidi" w:cstheme="majorBidi"/>
          <w:b/>
          <w:bCs/>
          <w:sz w:val="24"/>
          <w:szCs w:val="24"/>
          <w:lang w:bidi="ar-IQ"/>
        </w:rPr>
        <w:t>The effect of the trading volume of Islamic banks on the trading volume of the total Iraqi Stock Exchange</w:t>
      </w:r>
    </w:p>
    <w:tbl>
      <w:tblPr>
        <w:tblW w:w="9440"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75"/>
        <w:gridCol w:w="1738"/>
        <w:gridCol w:w="1717"/>
        <w:gridCol w:w="1140"/>
        <w:gridCol w:w="1070"/>
      </w:tblGrid>
      <w:tr w:rsidR="002B014D" w:rsidRPr="00AE7864" w:rsidTr="00AE7864">
        <w:trPr>
          <w:jc w:val="center"/>
        </w:trPr>
        <w:tc>
          <w:tcPr>
            <w:tcW w:w="3775" w:type="dxa"/>
            <w:shd w:val="clear" w:color="auto" w:fill="D9D9D9"/>
          </w:tcPr>
          <w:p w:rsidR="002B014D" w:rsidRPr="00AE7864" w:rsidRDefault="002B014D" w:rsidP="00AE7864">
            <w:pPr>
              <w:pStyle w:val="normal"/>
              <w:spacing w:after="0" w:line="276" w:lineRule="auto"/>
              <w:jc w:val="lowKashida"/>
              <w:rPr>
                <w:rFonts w:asciiTheme="majorBidi" w:hAnsiTheme="majorBidi" w:cstheme="majorBidi"/>
                <w:bCs/>
                <w:sz w:val="24"/>
                <w:szCs w:val="24"/>
              </w:rPr>
            </w:pPr>
          </w:p>
        </w:tc>
        <w:tc>
          <w:tcPr>
            <w:tcW w:w="1738" w:type="dxa"/>
            <w:shd w:val="clear" w:color="auto" w:fill="D9D9D9"/>
            <w:vAlign w:val="bottom"/>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B</w:t>
            </w:r>
          </w:p>
        </w:tc>
        <w:tc>
          <w:tcPr>
            <w:tcW w:w="1717" w:type="dxa"/>
            <w:shd w:val="clear" w:color="auto" w:fill="D9D9D9"/>
            <w:vAlign w:val="bottom"/>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Std. Error</w:t>
            </w:r>
          </w:p>
        </w:tc>
        <w:tc>
          <w:tcPr>
            <w:tcW w:w="1140" w:type="dxa"/>
            <w:shd w:val="clear" w:color="auto" w:fill="D9D9D9"/>
            <w:vAlign w:val="bottom"/>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T</w:t>
            </w:r>
          </w:p>
        </w:tc>
        <w:tc>
          <w:tcPr>
            <w:tcW w:w="1070" w:type="dxa"/>
            <w:shd w:val="clear" w:color="auto" w:fill="D9D9D9"/>
            <w:vAlign w:val="bottom"/>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Sig.</w:t>
            </w:r>
          </w:p>
        </w:tc>
      </w:tr>
      <w:tr w:rsidR="002B014D" w:rsidRPr="00AE7864" w:rsidTr="00AE7864">
        <w:trPr>
          <w:jc w:val="center"/>
        </w:trPr>
        <w:tc>
          <w:tcPr>
            <w:tcW w:w="3775" w:type="dxa"/>
            <w:shd w:val="clear" w:color="auto" w:fill="D9D9D9"/>
          </w:tcPr>
          <w:p w:rsidR="002B014D" w:rsidRPr="00AE7864" w:rsidRDefault="002B014D" w:rsidP="00AE7864">
            <w:pPr>
              <w:pStyle w:val="normal"/>
              <w:spacing w:after="0" w:line="276" w:lineRule="auto"/>
              <w:ind w:left="60" w:right="60"/>
              <w:jc w:val="center"/>
              <w:rPr>
                <w:rFonts w:asciiTheme="majorBidi" w:hAnsiTheme="majorBidi" w:cstheme="majorBidi"/>
                <w:bCs/>
                <w:color w:val="000000"/>
                <w:sz w:val="24"/>
                <w:szCs w:val="24"/>
              </w:rPr>
            </w:pPr>
            <w:r w:rsidRPr="00AE7864">
              <w:rPr>
                <w:rFonts w:asciiTheme="majorBidi" w:hAnsiTheme="majorBidi" w:cstheme="majorBidi"/>
                <w:bCs/>
                <w:color w:val="000000"/>
                <w:sz w:val="24"/>
                <w:szCs w:val="24"/>
              </w:rPr>
              <w:t>(Constant)</w:t>
            </w:r>
          </w:p>
        </w:tc>
        <w:tc>
          <w:tcPr>
            <w:tcW w:w="1738"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423851.556</w:t>
            </w:r>
          </w:p>
        </w:tc>
        <w:tc>
          <w:tcPr>
            <w:tcW w:w="1717"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200895.754</w:t>
            </w:r>
          </w:p>
        </w:tc>
        <w:tc>
          <w:tcPr>
            <w:tcW w:w="1140"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2.110</w:t>
            </w:r>
          </w:p>
        </w:tc>
        <w:tc>
          <w:tcPr>
            <w:tcW w:w="1070"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0.055</w:t>
            </w:r>
          </w:p>
        </w:tc>
      </w:tr>
      <w:tr w:rsidR="002B014D" w:rsidRPr="00AE7864" w:rsidTr="00AE7864">
        <w:trPr>
          <w:jc w:val="center"/>
        </w:trPr>
        <w:tc>
          <w:tcPr>
            <w:tcW w:w="3775" w:type="dxa"/>
            <w:shd w:val="clear" w:color="auto" w:fill="D9D9D9"/>
          </w:tcPr>
          <w:p w:rsidR="002B014D" w:rsidRPr="00AE7864" w:rsidRDefault="002B014D" w:rsidP="00AE7864">
            <w:pPr>
              <w:pStyle w:val="normal"/>
              <w:spacing w:after="0" w:line="276" w:lineRule="auto"/>
              <w:ind w:left="60" w:right="60"/>
              <w:jc w:val="center"/>
              <w:rPr>
                <w:rFonts w:asciiTheme="majorBidi" w:hAnsiTheme="majorBidi" w:cstheme="majorBidi"/>
                <w:bCs/>
                <w:color w:val="000000"/>
                <w:sz w:val="24"/>
                <w:szCs w:val="24"/>
                <w:lang w:bidi="ar-IQ"/>
              </w:rPr>
            </w:pPr>
            <w:r w:rsidRPr="00AE7864">
              <w:rPr>
                <w:rFonts w:asciiTheme="majorBidi" w:hAnsiTheme="majorBidi" w:cstheme="majorBidi"/>
                <w:bCs/>
                <w:color w:val="000000"/>
                <w:sz w:val="24"/>
                <w:szCs w:val="24"/>
              </w:rPr>
              <w:t>Market value of Islamic banks</w:t>
            </w:r>
          </w:p>
        </w:tc>
        <w:tc>
          <w:tcPr>
            <w:tcW w:w="1738"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2.789</w:t>
            </w:r>
          </w:p>
        </w:tc>
        <w:tc>
          <w:tcPr>
            <w:tcW w:w="1717"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1.423</w:t>
            </w:r>
          </w:p>
        </w:tc>
        <w:tc>
          <w:tcPr>
            <w:tcW w:w="1140"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1.960</w:t>
            </w:r>
          </w:p>
        </w:tc>
        <w:tc>
          <w:tcPr>
            <w:tcW w:w="1070" w:type="dxa"/>
            <w:vAlign w:val="center"/>
          </w:tcPr>
          <w:p w:rsidR="002B014D" w:rsidRPr="00AE7864" w:rsidRDefault="002B014D" w:rsidP="00AE7864">
            <w:pPr>
              <w:pStyle w:val="normal"/>
              <w:spacing w:after="0" w:line="276" w:lineRule="auto"/>
              <w:ind w:left="60" w:right="60"/>
              <w:jc w:val="lowKashida"/>
              <w:rPr>
                <w:rFonts w:asciiTheme="majorBidi" w:hAnsiTheme="majorBidi" w:cstheme="majorBidi"/>
                <w:bCs/>
                <w:color w:val="000000"/>
                <w:sz w:val="24"/>
                <w:szCs w:val="24"/>
              </w:rPr>
            </w:pPr>
            <w:r w:rsidRPr="00AE7864">
              <w:rPr>
                <w:rFonts w:asciiTheme="majorBidi" w:hAnsiTheme="majorBidi" w:cstheme="majorBidi"/>
                <w:bCs/>
                <w:color w:val="000000"/>
                <w:sz w:val="24"/>
                <w:szCs w:val="24"/>
              </w:rPr>
              <w:t>0.072</w:t>
            </w:r>
          </w:p>
        </w:tc>
      </w:tr>
    </w:tbl>
    <w:p w:rsidR="002B014D" w:rsidRPr="00AE7864" w:rsidRDefault="002B014D" w:rsidP="00AE7864">
      <w:pPr>
        <w:tabs>
          <w:tab w:val="left" w:pos="462"/>
        </w:tabs>
        <w:bidi w:val="0"/>
        <w:spacing w:after="0"/>
        <w:jc w:val="center"/>
        <w:rPr>
          <w:rFonts w:asciiTheme="majorBidi" w:hAnsiTheme="majorBidi" w:cstheme="majorBidi"/>
          <w:sz w:val="20"/>
          <w:szCs w:val="20"/>
          <w:lang w:bidi="ar-IQ"/>
        </w:rPr>
      </w:pPr>
    </w:p>
    <w:p w:rsidR="00AE7864" w:rsidRDefault="00AE7864" w:rsidP="00AE7864">
      <w:pPr>
        <w:tabs>
          <w:tab w:val="left" w:pos="462"/>
        </w:tabs>
        <w:bidi w:val="0"/>
        <w:spacing w:after="0"/>
        <w:rPr>
          <w:rFonts w:asciiTheme="majorBidi" w:hAnsiTheme="majorBidi" w:cstheme="majorBidi"/>
          <w:sz w:val="24"/>
          <w:szCs w:val="24"/>
          <w:lang w:bidi="ar-IQ"/>
        </w:rPr>
      </w:pPr>
      <w:r w:rsidRPr="00AE7864">
        <w:rPr>
          <w:rFonts w:asciiTheme="majorBidi" w:hAnsiTheme="majorBidi" w:cstheme="majorBidi"/>
          <w:sz w:val="24"/>
          <w:szCs w:val="24"/>
          <w:lang w:bidi="ar-IQ"/>
        </w:rPr>
        <w:t>Source: From the results of the statistical program.</w:t>
      </w:r>
    </w:p>
    <w:p w:rsidR="00AE7864" w:rsidRPr="00AE7864" w:rsidRDefault="001F7980" w:rsidP="00D943DD">
      <w:pPr>
        <w:tabs>
          <w:tab w:val="left" w:pos="462"/>
        </w:tabs>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AE7864" w:rsidRPr="00AE7864">
        <w:rPr>
          <w:rFonts w:asciiTheme="majorBidi" w:hAnsiTheme="majorBidi" w:cstheme="majorBidi"/>
          <w:sz w:val="24"/>
          <w:szCs w:val="24"/>
          <w:lang w:bidi="ar-IQ"/>
        </w:rPr>
        <w:t xml:space="preserve">It is noted from Table (7) that the calculated value of the marginal slope parameter of the model is (2.789), which shows that the change in the independent variable (the trading volume of Islamic banks) by one unit leads to the change of the dependent variable (the trading volume of the total Iraqi stock market) by (2.789), And the standard error of the estimated parameter is (1.423). Also, the calculated value of the test statistic (t) was (1.960) and when observing the corresponding value in the column (Sig.), we note that this value is not </w:t>
      </w:r>
      <w:r w:rsidR="00D943DD" w:rsidRPr="00E236EC">
        <w:rPr>
          <w:rFonts w:asciiTheme="majorBidi" w:hAnsiTheme="majorBidi" w:cstheme="majorBidi"/>
          <w:sz w:val="24"/>
          <w:szCs w:val="24"/>
          <w:lang w:bidi="ar-IQ"/>
        </w:rPr>
        <w:t>incorporeal</w:t>
      </w:r>
      <w:r w:rsidR="00AE7864" w:rsidRPr="00AE7864">
        <w:rPr>
          <w:rFonts w:asciiTheme="majorBidi" w:hAnsiTheme="majorBidi" w:cstheme="majorBidi"/>
          <w:sz w:val="24"/>
          <w:szCs w:val="24"/>
          <w:lang w:bidi="ar-IQ"/>
        </w:rPr>
        <w:t xml:space="preserve">, which means accepting the null hypothesis (H 0) and rejecting the alternative hypothesis (H1), meaning that there is no There is a </w:t>
      </w:r>
      <w:r w:rsidR="00E236EC" w:rsidRPr="00E236EC">
        <w:rPr>
          <w:rFonts w:asciiTheme="majorBidi" w:hAnsiTheme="majorBidi" w:cstheme="majorBidi"/>
          <w:sz w:val="24"/>
          <w:szCs w:val="24"/>
          <w:lang w:bidi="ar-IQ"/>
        </w:rPr>
        <w:t xml:space="preserve">incorporeal </w:t>
      </w:r>
      <w:r w:rsidR="00AE7864" w:rsidRPr="00AE7864">
        <w:rPr>
          <w:rFonts w:asciiTheme="majorBidi" w:hAnsiTheme="majorBidi" w:cstheme="majorBidi"/>
          <w:sz w:val="24"/>
          <w:szCs w:val="24"/>
          <w:lang w:bidi="ar-IQ"/>
        </w:rPr>
        <w:t xml:space="preserve">effect of the independent variable, the trading volume of Islamic banks, on the dependent variable, the trading volume of the total Iraqi stock exchange. Also, the value of the fixed limit was (423851.556), and this value was not </w:t>
      </w:r>
      <w:r w:rsidR="00E236EC" w:rsidRPr="00E236EC">
        <w:rPr>
          <w:rFonts w:asciiTheme="majorBidi" w:hAnsiTheme="majorBidi" w:cstheme="majorBidi"/>
          <w:sz w:val="24"/>
          <w:szCs w:val="24"/>
          <w:lang w:bidi="ar-IQ"/>
        </w:rPr>
        <w:t xml:space="preserve">incorporeal </w:t>
      </w:r>
      <w:r w:rsidR="00AE7864" w:rsidRPr="00AE7864">
        <w:rPr>
          <w:rFonts w:asciiTheme="majorBidi" w:hAnsiTheme="majorBidi" w:cstheme="majorBidi"/>
          <w:sz w:val="24"/>
          <w:szCs w:val="24"/>
          <w:lang w:bidi="ar-IQ"/>
        </w:rPr>
        <w:t>as well.</w:t>
      </w:r>
    </w:p>
    <w:p w:rsidR="00AE7864" w:rsidRPr="00AE7864" w:rsidRDefault="00AE7864" w:rsidP="00AE7864">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Table ( 8 )</w:t>
      </w:r>
    </w:p>
    <w:p w:rsidR="00AE7864" w:rsidRDefault="00AE7864" w:rsidP="00AE7864">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The coefficient of determination and the calculated F-value to test the significance of the model</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7"/>
        <w:gridCol w:w="2337"/>
        <w:gridCol w:w="2338"/>
        <w:gridCol w:w="2338"/>
      </w:tblGrid>
      <w:tr w:rsidR="00AE7864" w:rsidRPr="004433E2" w:rsidTr="00022949">
        <w:trPr>
          <w:jc w:val="center"/>
        </w:trPr>
        <w:tc>
          <w:tcPr>
            <w:tcW w:w="2337" w:type="dxa"/>
            <w:shd w:val="clear" w:color="auto" w:fill="D9D9D9"/>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R</w:t>
            </w:r>
          </w:p>
        </w:tc>
        <w:tc>
          <w:tcPr>
            <w:tcW w:w="2337" w:type="dxa"/>
            <w:shd w:val="clear" w:color="auto" w:fill="D9D9D9"/>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R Square</w:t>
            </w:r>
          </w:p>
        </w:tc>
        <w:tc>
          <w:tcPr>
            <w:tcW w:w="2338" w:type="dxa"/>
            <w:shd w:val="clear" w:color="auto" w:fill="D9D9D9"/>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F</w:t>
            </w:r>
          </w:p>
        </w:tc>
        <w:tc>
          <w:tcPr>
            <w:tcW w:w="2338" w:type="dxa"/>
            <w:shd w:val="clear" w:color="auto" w:fill="D9D9D9"/>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Sig.</w:t>
            </w:r>
          </w:p>
        </w:tc>
      </w:tr>
      <w:tr w:rsidR="00AE7864" w:rsidRPr="004433E2" w:rsidTr="00022949">
        <w:trPr>
          <w:jc w:val="center"/>
        </w:trPr>
        <w:tc>
          <w:tcPr>
            <w:tcW w:w="2337" w:type="dxa"/>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0.478</w:t>
            </w:r>
          </w:p>
        </w:tc>
        <w:tc>
          <w:tcPr>
            <w:tcW w:w="2337" w:type="dxa"/>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0.228</w:t>
            </w:r>
          </w:p>
        </w:tc>
        <w:tc>
          <w:tcPr>
            <w:tcW w:w="2338" w:type="dxa"/>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3.841</w:t>
            </w:r>
          </w:p>
        </w:tc>
        <w:tc>
          <w:tcPr>
            <w:tcW w:w="2338" w:type="dxa"/>
            <w:vAlign w:val="center"/>
          </w:tcPr>
          <w:p w:rsidR="00AE7864" w:rsidRPr="004433E2" w:rsidRDefault="00AE7864" w:rsidP="00022949">
            <w:pPr>
              <w:pStyle w:val="normal"/>
              <w:spacing w:after="0" w:line="360" w:lineRule="auto"/>
              <w:ind w:left="60" w:right="60"/>
              <w:jc w:val="lowKashida"/>
              <w:rPr>
                <w:rFonts w:asciiTheme="majorBidi" w:hAnsiTheme="majorBidi" w:cstheme="majorBidi"/>
                <w:b/>
                <w:color w:val="000000"/>
                <w:sz w:val="28"/>
                <w:szCs w:val="28"/>
              </w:rPr>
            </w:pPr>
            <w:r w:rsidRPr="004433E2">
              <w:rPr>
                <w:rFonts w:asciiTheme="majorBidi" w:hAnsiTheme="majorBidi" w:cstheme="majorBidi"/>
                <w:b/>
                <w:color w:val="000000"/>
                <w:sz w:val="28"/>
                <w:szCs w:val="28"/>
              </w:rPr>
              <w:t>0.072</w:t>
            </w:r>
          </w:p>
        </w:tc>
      </w:tr>
    </w:tbl>
    <w:p w:rsidR="00AE7864" w:rsidRDefault="00AE7864" w:rsidP="00AE7864">
      <w:pPr>
        <w:tabs>
          <w:tab w:val="left" w:pos="462"/>
        </w:tabs>
        <w:bidi w:val="0"/>
        <w:spacing w:after="0"/>
        <w:rPr>
          <w:rFonts w:asciiTheme="majorBidi" w:hAnsiTheme="majorBidi" w:cstheme="majorBidi"/>
          <w:b/>
          <w:bCs/>
          <w:sz w:val="24"/>
          <w:szCs w:val="24"/>
          <w:lang w:bidi="ar-IQ"/>
        </w:rPr>
      </w:pPr>
    </w:p>
    <w:p w:rsidR="00AE7864" w:rsidRDefault="00AE7864" w:rsidP="00AE7864">
      <w:pPr>
        <w:tabs>
          <w:tab w:val="left" w:pos="462"/>
        </w:tabs>
        <w:bidi w:val="0"/>
        <w:spacing w:after="0"/>
        <w:rPr>
          <w:rFonts w:asciiTheme="majorBidi" w:hAnsiTheme="majorBidi" w:cstheme="majorBidi"/>
          <w:sz w:val="24"/>
          <w:szCs w:val="24"/>
          <w:lang w:bidi="ar-IQ"/>
        </w:rPr>
      </w:pPr>
      <w:r w:rsidRPr="00AE7864">
        <w:rPr>
          <w:rFonts w:asciiTheme="majorBidi" w:hAnsiTheme="majorBidi" w:cstheme="majorBidi"/>
          <w:sz w:val="24"/>
          <w:szCs w:val="24"/>
          <w:lang w:bidi="ar-IQ"/>
        </w:rPr>
        <w:t>Source: From the results of the statistical program.</w:t>
      </w:r>
    </w:p>
    <w:p w:rsidR="00AE7864" w:rsidRDefault="00AE7864" w:rsidP="00AE7864">
      <w:pPr>
        <w:tabs>
          <w:tab w:val="left" w:pos="462"/>
        </w:tabs>
        <w:bidi w:val="0"/>
        <w:spacing w:after="0"/>
        <w:rPr>
          <w:rFonts w:asciiTheme="majorBidi" w:hAnsiTheme="majorBidi" w:cstheme="majorBidi"/>
          <w:b/>
          <w:bCs/>
          <w:sz w:val="24"/>
          <w:szCs w:val="24"/>
          <w:lang w:bidi="ar-IQ"/>
        </w:rPr>
      </w:pPr>
    </w:p>
    <w:p w:rsidR="00AE7864" w:rsidRPr="00AE7864" w:rsidRDefault="001F7980" w:rsidP="00E236EC">
      <w:pPr>
        <w:tabs>
          <w:tab w:val="left" w:pos="462"/>
        </w:tabs>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00E236EC" w:rsidRPr="00E236EC">
        <w:rPr>
          <w:rFonts w:asciiTheme="majorBidi" w:hAnsiTheme="majorBidi" w:cstheme="majorBidi"/>
          <w:sz w:val="24"/>
          <w:szCs w:val="24"/>
          <w:lang w:bidi="ar-IQ"/>
        </w:rPr>
        <w:t xml:space="preserve">Through table (8), it is clear that the value of the coefficient of determination (R2) was equal to (0.228), which indicates that the independent variable (the trading </w:t>
      </w:r>
      <w:r w:rsidR="00E236EC" w:rsidRPr="00E236EC">
        <w:rPr>
          <w:rFonts w:asciiTheme="majorBidi" w:hAnsiTheme="majorBidi" w:cstheme="majorBidi"/>
          <w:sz w:val="24"/>
          <w:szCs w:val="24"/>
          <w:lang w:bidi="ar-IQ"/>
        </w:rPr>
        <w:lastRenderedPageBreak/>
        <w:t>volume of Islamic banks was able to explain about 23% of the change in the approved variable (the trading volume of the total Iraqi stock market) In addition, the calculated value of the (F) test in Table (8), which is (3.841), is a small value, and we note that it is not significant, according to the value in the column (Sig.), which is equal to (0.072), This indicates that the assumed linear relationship between the dependent variable and the independent variable is not incorporeal .</w:t>
      </w:r>
    </w:p>
    <w:p w:rsidR="00AE7864" w:rsidRPr="00AE7864" w:rsidRDefault="00AE7864" w:rsidP="00AE7864">
      <w:pPr>
        <w:tabs>
          <w:tab w:val="left" w:pos="462"/>
        </w:tabs>
        <w:bidi w:val="0"/>
        <w:spacing w:after="0"/>
        <w:jc w:val="mediumKashida"/>
        <w:rPr>
          <w:rFonts w:asciiTheme="majorBidi" w:hAnsiTheme="majorBidi" w:cstheme="majorBidi"/>
          <w:sz w:val="24"/>
          <w:szCs w:val="24"/>
          <w:rtl/>
          <w:lang w:bidi="ar-IQ"/>
        </w:rPr>
      </w:pPr>
      <w:r w:rsidRPr="00AE7864">
        <w:rPr>
          <w:rFonts w:asciiTheme="majorBidi" w:hAnsiTheme="majorBidi" w:cstheme="majorBidi"/>
          <w:sz w:val="24"/>
          <w:szCs w:val="24"/>
          <w:lang w:bidi="ar-IQ"/>
        </w:rPr>
        <w:t xml:space="preserve"> </w:t>
      </w:r>
    </w:p>
    <w:p w:rsidR="00B06ADE" w:rsidRDefault="00B06ADE" w:rsidP="00AE7864">
      <w:pPr>
        <w:tabs>
          <w:tab w:val="left" w:pos="462"/>
        </w:tabs>
        <w:bidi w:val="0"/>
        <w:spacing w:after="0"/>
        <w:jc w:val="mediumKashida"/>
        <w:rPr>
          <w:rFonts w:asciiTheme="majorBidi" w:hAnsiTheme="majorBidi" w:cstheme="majorBidi"/>
          <w:sz w:val="24"/>
          <w:szCs w:val="24"/>
          <w:lang w:bidi="ar-IQ"/>
        </w:rPr>
      </w:pPr>
      <w:r w:rsidRPr="00B06ADE">
        <w:rPr>
          <w:rFonts w:asciiTheme="majorBidi" w:hAnsiTheme="majorBidi" w:cstheme="majorBidi"/>
          <w:b/>
          <w:bCs/>
          <w:color w:val="FF0000"/>
          <w:sz w:val="24"/>
          <w:szCs w:val="24"/>
          <w:lang w:bidi="ar-IQ"/>
        </w:rPr>
        <w:t>The conclusions that can be reached in the statistical aspect can be summarized as follows:</w:t>
      </w:r>
    </w:p>
    <w:p w:rsidR="003C1E2E" w:rsidRPr="003C1E2E" w:rsidRDefault="003C1E2E" w:rsidP="003C1E2E">
      <w:pPr>
        <w:tabs>
          <w:tab w:val="left" w:pos="462"/>
        </w:tabs>
        <w:bidi w:val="0"/>
        <w:spacing w:after="0"/>
        <w:jc w:val="mediumKashida"/>
        <w:rPr>
          <w:rFonts w:asciiTheme="majorBidi" w:hAnsiTheme="majorBidi" w:cstheme="majorBidi"/>
          <w:sz w:val="20"/>
          <w:szCs w:val="20"/>
          <w:lang w:bidi="ar-IQ"/>
        </w:rPr>
      </w:pPr>
    </w:p>
    <w:p w:rsidR="00AE7864" w:rsidRPr="00AE7864" w:rsidRDefault="00AE7864" w:rsidP="00B06ADE">
      <w:pPr>
        <w:tabs>
          <w:tab w:val="left" w:pos="462"/>
        </w:tabs>
        <w:bidi w:val="0"/>
        <w:spacing w:after="0"/>
        <w:jc w:val="mediumKashida"/>
        <w:rPr>
          <w:rFonts w:asciiTheme="majorBidi" w:hAnsiTheme="majorBidi" w:cstheme="majorBidi"/>
          <w:sz w:val="24"/>
          <w:szCs w:val="24"/>
          <w:lang w:bidi="ar-IQ"/>
        </w:rPr>
      </w:pPr>
      <w:r w:rsidRPr="00AE7864">
        <w:rPr>
          <w:rFonts w:asciiTheme="majorBidi" w:hAnsiTheme="majorBidi" w:cstheme="majorBidi"/>
          <w:sz w:val="24"/>
          <w:szCs w:val="24"/>
          <w:lang w:bidi="ar-IQ"/>
        </w:rPr>
        <w:t>1 - From Table (9) we can notice that the estimated parameter of the independent variable (the market value of Islamic banks) had a small standard error, and therefore the value calculated to (t) was significant and significant, meaning that the independent variable has a large and strong effect, which indicates that the change taking place In the independent variable (the market value of Islamic banks) will lead to positive changes in the dependent variable (the market value of the total Iraqi stock market), and this is also indicated in Table No. (10), where we note that there is a strong direct correlation between the dependent and independent variable The independent variable was able to explain about 80% of the changes in the independent variable.</w:t>
      </w:r>
    </w:p>
    <w:p w:rsidR="00AE0C7B" w:rsidRDefault="00AE0C7B" w:rsidP="003C1E2E">
      <w:pPr>
        <w:tabs>
          <w:tab w:val="left" w:pos="462"/>
        </w:tabs>
        <w:bidi w:val="0"/>
        <w:spacing w:after="0"/>
        <w:rPr>
          <w:rFonts w:asciiTheme="majorBidi" w:hAnsiTheme="majorBidi" w:cstheme="majorBidi"/>
          <w:b/>
          <w:bCs/>
          <w:sz w:val="24"/>
          <w:szCs w:val="24"/>
          <w:lang w:bidi="ar-IQ"/>
        </w:rPr>
      </w:pPr>
    </w:p>
    <w:p w:rsidR="00AE0C7B" w:rsidRDefault="00AE0C7B" w:rsidP="00AE0C7B">
      <w:pPr>
        <w:tabs>
          <w:tab w:val="left" w:pos="462"/>
        </w:tabs>
        <w:bidi w:val="0"/>
        <w:spacing w:after="0"/>
        <w:jc w:val="center"/>
        <w:rPr>
          <w:rFonts w:asciiTheme="majorBidi" w:hAnsiTheme="majorBidi" w:cstheme="majorBidi"/>
          <w:b/>
          <w:bCs/>
          <w:sz w:val="24"/>
          <w:szCs w:val="24"/>
          <w:lang w:bidi="ar-IQ"/>
        </w:rPr>
      </w:pPr>
    </w:p>
    <w:p w:rsidR="00AE7864" w:rsidRDefault="00AE7864" w:rsidP="00AE0C7B">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Table ( 9 )</w:t>
      </w:r>
    </w:p>
    <w:p w:rsidR="00AE7864" w:rsidRPr="00AE7864" w:rsidRDefault="00AE7864" w:rsidP="00AE7864">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It shows the marginal slope and standard error, as well as the significance of these parameters for the independent variables</w:t>
      </w:r>
    </w:p>
    <w:p w:rsidR="00AE7864" w:rsidRDefault="00AE7864" w:rsidP="00AE7864">
      <w:pPr>
        <w:tabs>
          <w:tab w:val="left" w:pos="462"/>
        </w:tabs>
        <w:bidi w:val="0"/>
        <w:spacing w:after="0"/>
        <w:rPr>
          <w:rFonts w:asciiTheme="majorBidi" w:hAnsiTheme="majorBidi" w:cstheme="majorBidi"/>
          <w:b/>
          <w:bCs/>
          <w:sz w:val="24"/>
          <w:szCs w:val="24"/>
          <w:lang w:bidi="ar-IQ"/>
        </w:rPr>
      </w:pPr>
    </w:p>
    <w:tbl>
      <w:tblPr>
        <w:tblW w:w="9502"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37"/>
        <w:gridCol w:w="1738"/>
        <w:gridCol w:w="1604"/>
        <w:gridCol w:w="1253"/>
        <w:gridCol w:w="1070"/>
      </w:tblGrid>
      <w:tr w:rsidR="00AE7864" w:rsidRPr="00AE7864" w:rsidTr="00AE7864">
        <w:trPr>
          <w:jc w:val="center"/>
        </w:trPr>
        <w:tc>
          <w:tcPr>
            <w:tcW w:w="3837" w:type="dxa"/>
            <w:shd w:val="clear" w:color="auto" w:fill="D9D9D9"/>
            <w:vAlign w:val="center"/>
          </w:tcPr>
          <w:p w:rsidR="00AE7864" w:rsidRPr="00AE7864" w:rsidRDefault="00AE7864" w:rsidP="00AE7864">
            <w:pPr>
              <w:pStyle w:val="normal"/>
              <w:spacing w:line="360" w:lineRule="auto"/>
              <w:rPr>
                <w:rFonts w:asciiTheme="majorBidi" w:hAnsiTheme="majorBidi" w:cstheme="majorBidi"/>
                <w:b/>
                <w:sz w:val="24"/>
                <w:szCs w:val="24"/>
              </w:rPr>
            </w:pPr>
          </w:p>
        </w:tc>
        <w:tc>
          <w:tcPr>
            <w:tcW w:w="1738" w:type="dxa"/>
            <w:shd w:val="clear" w:color="auto" w:fill="D9D9D9"/>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B</w:t>
            </w:r>
          </w:p>
        </w:tc>
        <w:tc>
          <w:tcPr>
            <w:tcW w:w="1604" w:type="dxa"/>
            <w:shd w:val="clear" w:color="auto" w:fill="D9D9D9"/>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Std. Error</w:t>
            </w:r>
          </w:p>
        </w:tc>
        <w:tc>
          <w:tcPr>
            <w:tcW w:w="1253" w:type="dxa"/>
            <w:shd w:val="clear" w:color="auto" w:fill="D9D9D9"/>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T</w:t>
            </w:r>
          </w:p>
        </w:tc>
        <w:tc>
          <w:tcPr>
            <w:tcW w:w="1070" w:type="dxa"/>
            <w:shd w:val="clear" w:color="auto" w:fill="D9D9D9"/>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Sig.</w:t>
            </w:r>
          </w:p>
        </w:tc>
      </w:tr>
      <w:tr w:rsidR="00AE7864" w:rsidRPr="00AE7864" w:rsidTr="00AE7864">
        <w:trPr>
          <w:jc w:val="center"/>
        </w:trPr>
        <w:tc>
          <w:tcPr>
            <w:tcW w:w="3837" w:type="dxa"/>
            <w:shd w:val="clear" w:color="auto" w:fill="D9D9D9"/>
            <w:vAlign w:val="center"/>
          </w:tcPr>
          <w:p w:rsidR="00AE7864" w:rsidRPr="00AE7864" w:rsidRDefault="00AE7864" w:rsidP="00AE7864">
            <w:pPr>
              <w:bidi w:val="0"/>
              <w:rPr>
                <w:rFonts w:asciiTheme="majorBidi" w:hAnsiTheme="majorBidi" w:cstheme="majorBidi"/>
                <w:b/>
                <w:sz w:val="24"/>
                <w:szCs w:val="24"/>
                <w:rtl/>
                <w:lang w:bidi="ar-IQ"/>
              </w:rPr>
            </w:pPr>
            <w:r w:rsidRPr="00AE7864">
              <w:rPr>
                <w:rFonts w:asciiTheme="majorBidi" w:hAnsiTheme="majorBidi" w:cstheme="majorBidi"/>
                <w:b/>
                <w:sz w:val="24"/>
                <w:szCs w:val="24"/>
              </w:rPr>
              <w:t>Market value of Islamic banks</w:t>
            </w:r>
          </w:p>
        </w:tc>
        <w:tc>
          <w:tcPr>
            <w:tcW w:w="1738"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3.122</w:t>
            </w:r>
          </w:p>
        </w:tc>
        <w:tc>
          <w:tcPr>
            <w:tcW w:w="1604"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0.441</w:t>
            </w:r>
          </w:p>
        </w:tc>
        <w:tc>
          <w:tcPr>
            <w:tcW w:w="1253"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7.084</w:t>
            </w:r>
          </w:p>
        </w:tc>
        <w:tc>
          <w:tcPr>
            <w:tcW w:w="1070"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0.000</w:t>
            </w:r>
          </w:p>
        </w:tc>
      </w:tr>
      <w:tr w:rsidR="00AE7864" w:rsidRPr="00AE7864" w:rsidTr="00AE7864">
        <w:trPr>
          <w:trHeight w:val="485"/>
          <w:jc w:val="center"/>
        </w:trPr>
        <w:tc>
          <w:tcPr>
            <w:tcW w:w="3837" w:type="dxa"/>
            <w:shd w:val="clear" w:color="auto" w:fill="D9D9D9"/>
            <w:vAlign w:val="center"/>
          </w:tcPr>
          <w:p w:rsidR="00AE7864" w:rsidRPr="00AE7864" w:rsidRDefault="00AE7864" w:rsidP="00AE7864">
            <w:pPr>
              <w:bidi w:val="0"/>
              <w:rPr>
                <w:rFonts w:asciiTheme="majorBidi" w:hAnsiTheme="majorBidi" w:cstheme="majorBidi"/>
                <w:b/>
                <w:sz w:val="24"/>
                <w:szCs w:val="24"/>
              </w:rPr>
            </w:pPr>
            <w:r w:rsidRPr="00AE7864">
              <w:rPr>
                <w:rFonts w:asciiTheme="majorBidi" w:hAnsiTheme="majorBidi" w:cstheme="majorBidi"/>
                <w:b/>
                <w:sz w:val="24"/>
                <w:szCs w:val="24"/>
              </w:rPr>
              <w:t>Trading volume for Islamic banks</w:t>
            </w:r>
          </w:p>
        </w:tc>
        <w:tc>
          <w:tcPr>
            <w:tcW w:w="1738"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2.789</w:t>
            </w:r>
          </w:p>
        </w:tc>
        <w:tc>
          <w:tcPr>
            <w:tcW w:w="1604"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1.423</w:t>
            </w:r>
          </w:p>
        </w:tc>
        <w:tc>
          <w:tcPr>
            <w:tcW w:w="1253"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1.960</w:t>
            </w:r>
          </w:p>
        </w:tc>
        <w:tc>
          <w:tcPr>
            <w:tcW w:w="1070" w:type="dxa"/>
            <w:vAlign w:val="center"/>
          </w:tcPr>
          <w:p w:rsidR="00AE7864" w:rsidRPr="00AE7864" w:rsidRDefault="00AE7864" w:rsidP="00022949">
            <w:pPr>
              <w:pStyle w:val="normal"/>
              <w:spacing w:line="360" w:lineRule="auto"/>
              <w:ind w:left="60" w:right="60"/>
              <w:jc w:val="lowKashida"/>
              <w:rPr>
                <w:rFonts w:asciiTheme="majorBidi" w:hAnsiTheme="majorBidi" w:cstheme="majorBidi"/>
                <w:b/>
                <w:color w:val="000000"/>
                <w:sz w:val="24"/>
                <w:szCs w:val="24"/>
              </w:rPr>
            </w:pPr>
            <w:r w:rsidRPr="00AE7864">
              <w:rPr>
                <w:rFonts w:asciiTheme="majorBidi" w:hAnsiTheme="majorBidi" w:cstheme="majorBidi"/>
                <w:b/>
                <w:color w:val="000000"/>
                <w:sz w:val="24"/>
                <w:szCs w:val="24"/>
              </w:rPr>
              <w:t>0.072</w:t>
            </w:r>
          </w:p>
        </w:tc>
      </w:tr>
    </w:tbl>
    <w:p w:rsidR="00AE7864" w:rsidRDefault="00AE7864" w:rsidP="00AE7864">
      <w:pPr>
        <w:tabs>
          <w:tab w:val="left" w:pos="462"/>
        </w:tabs>
        <w:bidi w:val="0"/>
        <w:spacing w:after="0"/>
        <w:rPr>
          <w:rFonts w:asciiTheme="majorBidi" w:hAnsiTheme="majorBidi" w:cstheme="majorBidi"/>
          <w:sz w:val="24"/>
          <w:szCs w:val="24"/>
          <w:lang w:bidi="ar-IQ"/>
        </w:rPr>
      </w:pPr>
      <w:r w:rsidRPr="00AE7864">
        <w:rPr>
          <w:rFonts w:asciiTheme="majorBidi" w:hAnsiTheme="majorBidi" w:cstheme="majorBidi"/>
          <w:sz w:val="24"/>
          <w:szCs w:val="24"/>
          <w:lang w:bidi="ar-IQ"/>
        </w:rPr>
        <w:t>Source: From the results of the statistical program.</w:t>
      </w:r>
    </w:p>
    <w:p w:rsidR="00AE7864" w:rsidRDefault="00AE7864" w:rsidP="00AE7864">
      <w:pPr>
        <w:tabs>
          <w:tab w:val="left" w:pos="462"/>
        </w:tabs>
        <w:bidi w:val="0"/>
        <w:spacing w:after="0"/>
        <w:rPr>
          <w:rFonts w:asciiTheme="majorBidi" w:hAnsiTheme="majorBidi" w:cstheme="majorBidi"/>
          <w:b/>
          <w:bCs/>
          <w:sz w:val="24"/>
          <w:szCs w:val="24"/>
          <w:lang w:bidi="ar-IQ"/>
        </w:rPr>
      </w:pPr>
    </w:p>
    <w:p w:rsidR="00AE7864" w:rsidRDefault="00AE7864" w:rsidP="00AE7864">
      <w:pPr>
        <w:tabs>
          <w:tab w:val="left" w:pos="462"/>
        </w:tabs>
        <w:bidi w:val="0"/>
        <w:spacing w:after="0"/>
        <w:jc w:val="mediumKashida"/>
        <w:rPr>
          <w:rFonts w:asciiTheme="majorBidi" w:hAnsiTheme="majorBidi" w:cstheme="majorBidi"/>
          <w:sz w:val="24"/>
          <w:szCs w:val="24"/>
          <w:lang w:bidi="ar-IQ"/>
        </w:rPr>
      </w:pPr>
      <w:r w:rsidRPr="00AE7864">
        <w:rPr>
          <w:rFonts w:asciiTheme="majorBidi" w:hAnsiTheme="majorBidi" w:cstheme="majorBidi"/>
          <w:sz w:val="24"/>
          <w:szCs w:val="24"/>
          <w:lang w:bidi="ar-IQ"/>
        </w:rPr>
        <w:t>2- Table (9) indicates that the estimated parameter of the independent variable (the trading volume of Islamic banks) had a relatively large standard error and therefore the calculated value to (t) was not significant, meaning that the independent variable had no significant effect, which indicates that the change in The independent variable (the trading volume of Islamic banks) will not lead to significant changes in the dependent variable (the trading volume, not the total volume of the Iraq Stock Exchange), and this is also indicated in Table No. (10), where we note that there is a non-strong correlation between the approved variable The independent variable was able to explain about 22% of the changes that occurred in the independent variable, and this value is small, meaning that there are 78% unexplained.</w:t>
      </w:r>
    </w:p>
    <w:p w:rsidR="00B06ADE" w:rsidRPr="00AE7864" w:rsidRDefault="00B06ADE" w:rsidP="00B06ADE">
      <w:pPr>
        <w:tabs>
          <w:tab w:val="left" w:pos="462"/>
        </w:tabs>
        <w:bidi w:val="0"/>
        <w:spacing w:after="0"/>
        <w:jc w:val="mediumKashida"/>
        <w:rPr>
          <w:rFonts w:asciiTheme="majorBidi" w:hAnsiTheme="majorBidi" w:cstheme="majorBidi"/>
          <w:sz w:val="24"/>
          <w:szCs w:val="24"/>
          <w:lang w:bidi="ar-IQ"/>
        </w:rPr>
      </w:pPr>
    </w:p>
    <w:p w:rsidR="00B06ADE" w:rsidRPr="00AE7864" w:rsidRDefault="00AE7864" w:rsidP="00B06ADE">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Table (10)</w:t>
      </w:r>
    </w:p>
    <w:p w:rsidR="00C1663A" w:rsidRPr="00AE7864" w:rsidRDefault="00AE7864" w:rsidP="00B06ADE">
      <w:pPr>
        <w:tabs>
          <w:tab w:val="left" w:pos="462"/>
        </w:tabs>
        <w:bidi w:val="0"/>
        <w:spacing w:after="0"/>
        <w:jc w:val="center"/>
        <w:rPr>
          <w:rFonts w:asciiTheme="majorBidi" w:hAnsiTheme="majorBidi" w:cstheme="majorBidi"/>
          <w:b/>
          <w:bCs/>
          <w:sz w:val="24"/>
          <w:szCs w:val="24"/>
          <w:lang w:bidi="ar-IQ"/>
        </w:rPr>
      </w:pPr>
      <w:r w:rsidRPr="00AE7864">
        <w:rPr>
          <w:rFonts w:asciiTheme="majorBidi" w:hAnsiTheme="majorBidi" w:cstheme="majorBidi"/>
          <w:b/>
          <w:bCs/>
          <w:sz w:val="24"/>
          <w:szCs w:val="24"/>
          <w:lang w:bidi="ar-IQ"/>
        </w:rPr>
        <w:t>The coefficient of determination as well as the significance of the model</w:t>
      </w:r>
    </w:p>
    <w:tbl>
      <w:tblPr>
        <w:tblW w:w="9691"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43"/>
        <w:gridCol w:w="1362"/>
        <w:gridCol w:w="1620"/>
        <w:gridCol w:w="1548"/>
        <w:gridCol w:w="1318"/>
      </w:tblGrid>
      <w:tr w:rsidR="00AE7864" w:rsidRPr="00C1663A" w:rsidTr="00C1663A">
        <w:trPr>
          <w:jc w:val="center"/>
        </w:trPr>
        <w:tc>
          <w:tcPr>
            <w:tcW w:w="3843" w:type="dxa"/>
            <w:shd w:val="clear" w:color="auto" w:fill="D9D9D9"/>
          </w:tcPr>
          <w:p w:rsidR="00AE7864" w:rsidRPr="00C1663A" w:rsidRDefault="00AE7864" w:rsidP="00C1663A">
            <w:pPr>
              <w:pStyle w:val="normal"/>
              <w:spacing w:line="276" w:lineRule="auto"/>
              <w:ind w:left="60" w:right="60"/>
              <w:rPr>
                <w:rFonts w:asciiTheme="majorBidi" w:hAnsiTheme="majorBidi" w:cstheme="majorBidi"/>
                <w:b/>
                <w:color w:val="000000"/>
                <w:sz w:val="24"/>
                <w:szCs w:val="24"/>
              </w:rPr>
            </w:pPr>
          </w:p>
        </w:tc>
        <w:tc>
          <w:tcPr>
            <w:tcW w:w="1362" w:type="dxa"/>
            <w:shd w:val="clear" w:color="auto" w:fill="D9D9D9"/>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R</w:t>
            </w:r>
          </w:p>
        </w:tc>
        <w:tc>
          <w:tcPr>
            <w:tcW w:w="1620" w:type="dxa"/>
            <w:shd w:val="clear" w:color="auto" w:fill="D9D9D9"/>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R Square</w:t>
            </w:r>
          </w:p>
        </w:tc>
        <w:tc>
          <w:tcPr>
            <w:tcW w:w="1548" w:type="dxa"/>
            <w:shd w:val="clear" w:color="auto" w:fill="D9D9D9"/>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F</w:t>
            </w:r>
          </w:p>
        </w:tc>
        <w:tc>
          <w:tcPr>
            <w:tcW w:w="1318" w:type="dxa"/>
            <w:shd w:val="clear" w:color="auto" w:fill="D9D9D9"/>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Sig.</w:t>
            </w:r>
          </w:p>
        </w:tc>
      </w:tr>
      <w:tr w:rsidR="00AE7864" w:rsidRPr="00C1663A" w:rsidTr="00C1663A">
        <w:trPr>
          <w:jc w:val="center"/>
        </w:trPr>
        <w:tc>
          <w:tcPr>
            <w:tcW w:w="3843" w:type="dxa"/>
            <w:shd w:val="clear" w:color="auto" w:fill="D9D9D9"/>
          </w:tcPr>
          <w:p w:rsidR="00AE7864" w:rsidRPr="00C1663A" w:rsidRDefault="00AE7864" w:rsidP="00C1663A">
            <w:pPr>
              <w:jc w:val="right"/>
              <w:rPr>
                <w:rFonts w:asciiTheme="majorBidi" w:hAnsiTheme="majorBidi" w:cstheme="majorBidi"/>
                <w:b/>
                <w:sz w:val="24"/>
                <w:szCs w:val="24"/>
                <w:rtl/>
                <w:lang w:bidi="ar-IQ"/>
              </w:rPr>
            </w:pPr>
            <w:r w:rsidRPr="00C1663A">
              <w:rPr>
                <w:rFonts w:asciiTheme="majorBidi" w:hAnsiTheme="majorBidi" w:cstheme="majorBidi"/>
                <w:b/>
                <w:sz w:val="24"/>
                <w:szCs w:val="24"/>
              </w:rPr>
              <w:t>Market value of Islamic banks</w:t>
            </w:r>
          </w:p>
        </w:tc>
        <w:tc>
          <w:tcPr>
            <w:tcW w:w="1362"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0.891</w:t>
            </w:r>
          </w:p>
        </w:tc>
        <w:tc>
          <w:tcPr>
            <w:tcW w:w="1620"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0.794</w:t>
            </w:r>
          </w:p>
        </w:tc>
        <w:tc>
          <w:tcPr>
            <w:tcW w:w="1548"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50.189</w:t>
            </w:r>
          </w:p>
        </w:tc>
        <w:tc>
          <w:tcPr>
            <w:tcW w:w="1318"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0.000</w:t>
            </w:r>
          </w:p>
        </w:tc>
      </w:tr>
      <w:tr w:rsidR="00AE7864" w:rsidRPr="00C1663A" w:rsidTr="00C1663A">
        <w:trPr>
          <w:jc w:val="center"/>
        </w:trPr>
        <w:tc>
          <w:tcPr>
            <w:tcW w:w="3843" w:type="dxa"/>
            <w:shd w:val="clear" w:color="auto" w:fill="D9D9D9"/>
          </w:tcPr>
          <w:p w:rsidR="00AE7864" w:rsidRPr="00C1663A" w:rsidRDefault="00AE7864" w:rsidP="00C1663A">
            <w:pPr>
              <w:jc w:val="right"/>
              <w:rPr>
                <w:rFonts w:asciiTheme="majorBidi" w:hAnsiTheme="majorBidi" w:cstheme="majorBidi"/>
                <w:b/>
                <w:sz w:val="24"/>
                <w:szCs w:val="24"/>
              </w:rPr>
            </w:pPr>
            <w:r w:rsidRPr="00C1663A">
              <w:rPr>
                <w:rFonts w:asciiTheme="majorBidi" w:hAnsiTheme="majorBidi" w:cstheme="majorBidi"/>
                <w:b/>
                <w:sz w:val="24"/>
                <w:szCs w:val="24"/>
              </w:rPr>
              <w:t>Trading volume for Islamic banks</w:t>
            </w:r>
          </w:p>
        </w:tc>
        <w:tc>
          <w:tcPr>
            <w:tcW w:w="1362"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0.478</w:t>
            </w:r>
          </w:p>
        </w:tc>
        <w:tc>
          <w:tcPr>
            <w:tcW w:w="1620"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0.228</w:t>
            </w:r>
          </w:p>
        </w:tc>
        <w:tc>
          <w:tcPr>
            <w:tcW w:w="1548"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3.841</w:t>
            </w:r>
          </w:p>
        </w:tc>
        <w:tc>
          <w:tcPr>
            <w:tcW w:w="1318" w:type="dxa"/>
            <w:vAlign w:val="center"/>
          </w:tcPr>
          <w:p w:rsidR="00AE7864" w:rsidRPr="00C1663A" w:rsidRDefault="00AE7864" w:rsidP="00022949">
            <w:pPr>
              <w:pStyle w:val="normal"/>
              <w:spacing w:line="276" w:lineRule="auto"/>
              <w:ind w:left="60" w:right="60"/>
              <w:jc w:val="center"/>
              <w:rPr>
                <w:rFonts w:asciiTheme="majorBidi" w:hAnsiTheme="majorBidi" w:cstheme="majorBidi"/>
                <w:b/>
                <w:color w:val="000000"/>
                <w:sz w:val="24"/>
                <w:szCs w:val="24"/>
              </w:rPr>
            </w:pPr>
            <w:r w:rsidRPr="00C1663A">
              <w:rPr>
                <w:rFonts w:asciiTheme="majorBidi" w:hAnsiTheme="majorBidi" w:cstheme="majorBidi"/>
                <w:b/>
                <w:color w:val="000000"/>
                <w:sz w:val="24"/>
                <w:szCs w:val="24"/>
              </w:rPr>
              <w:t>0.072</w:t>
            </w:r>
          </w:p>
        </w:tc>
      </w:tr>
    </w:tbl>
    <w:p w:rsidR="009E3CDF" w:rsidRDefault="009E3CDF" w:rsidP="0018156F">
      <w:pPr>
        <w:tabs>
          <w:tab w:val="left" w:pos="360"/>
        </w:tabs>
        <w:bidi w:val="0"/>
        <w:spacing w:after="0"/>
        <w:rPr>
          <w:rFonts w:asciiTheme="majorBidi" w:hAnsiTheme="majorBidi" w:cstheme="majorBidi"/>
          <w:sz w:val="24"/>
          <w:szCs w:val="24"/>
          <w:lang w:bidi="ar-IQ"/>
        </w:rPr>
      </w:pPr>
      <w:r w:rsidRPr="00AE7864">
        <w:rPr>
          <w:rFonts w:asciiTheme="majorBidi" w:hAnsiTheme="majorBidi" w:cstheme="majorBidi"/>
          <w:sz w:val="24"/>
          <w:szCs w:val="24"/>
          <w:lang w:bidi="ar-IQ"/>
        </w:rPr>
        <w:t>Source: From the results of the statistical program.</w:t>
      </w:r>
    </w:p>
    <w:p w:rsidR="009B4DC8" w:rsidRDefault="009B4DC8" w:rsidP="009B4DC8">
      <w:pPr>
        <w:tabs>
          <w:tab w:val="left" w:pos="360"/>
        </w:tabs>
        <w:bidi w:val="0"/>
        <w:spacing w:after="0"/>
        <w:rPr>
          <w:rFonts w:asciiTheme="majorBidi" w:hAnsiTheme="majorBidi" w:cstheme="majorBidi"/>
          <w:sz w:val="24"/>
          <w:szCs w:val="24"/>
          <w:lang w:bidi="ar-IQ"/>
        </w:rPr>
      </w:pPr>
    </w:p>
    <w:p w:rsidR="00AE7864" w:rsidRDefault="00B06ADE" w:rsidP="00AE7864">
      <w:pPr>
        <w:tabs>
          <w:tab w:val="left" w:pos="462"/>
        </w:tabs>
        <w:bidi w:val="0"/>
        <w:spacing w:after="0"/>
        <w:rPr>
          <w:rFonts w:asciiTheme="majorBidi" w:hAnsiTheme="majorBidi" w:cstheme="majorBidi"/>
          <w:b/>
          <w:bCs/>
          <w:color w:val="FF0000"/>
          <w:sz w:val="24"/>
          <w:szCs w:val="24"/>
          <w:lang w:bidi="ar-IQ"/>
        </w:rPr>
      </w:pPr>
      <w:r w:rsidRPr="00B06ADE">
        <w:rPr>
          <w:rFonts w:asciiTheme="majorBidi" w:hAnsiTheme="majorBidi" w:cstheme="majorBidi"/>
          <w:b/>
          <w:bCs/>
          <w:color w:val="FF0000"/>
          <w:sz w:val="24"/>
          <w:szCs w:val="24"/>
          <w:lang w:bidi="ar-IQ"/>
        </w:rPr>
        <w:t>Conclusions</w:t>
      </w:r>
      <w:r>
        <w:rPr>
          <w:rFonts w:asciiTheme="majorBidi" w:hAnsiTheme="majorBidi" w:cstheme="majorBidi"/>
          <w:b/>
          <w:bCs/>
          <w:color w:val="FF0000"/>
          <w:sz w:val="24"/>
          <w:szCs w:val="24"/>
          <w:lang w:bidi="ar-IQ"/>
        </w:rPr>
        <w:t xml:space="preserve"> :</w:t>
      </w:r>
    </w:p>
    <w:p w:rsidR="00B06ADE" w:rsidRPr="00B06ADE" w:rsidRDefault="00B06ADE" w:rsidP="00B06ADE">
      <w:pPr>
        <w:tabs>
          <w:tab w:val="left" w:pos="462"/>
        </w:tabs>
        <w:bidi w:val="0"/>
        <w:spacing w:after="0"/>
        <w:rPr>
          <w:rFonts w:asciiTheme="majorBidi" w:hAnsiTheme="majorBidi" w:cstheme="majorBidi"/>
          <w:b/>
          <w:bCs/>
          <w:color w:val="FF0000"/>
          <w:sz w:val="8"/>
          <w:szCs w:val="8"/>
          <w:lang w:bidi="ar-IQ"/>
        </w:rPr>
      </w:pPr>
    </w:p>
    <w:p w:rsidR="009E3CDF" w:rsidRPr="004279C5" w:rsidRDefault="0018156F" w:rsidP="004279C5">
      <w:pPr>
        <w:pStyle w:val="a3"/>
        <w:numPr>
          <w:ilvl w:val="0"/>
          <w:numId w:val="2"/>
        </w:numPr>
        <w:tabs>
          <w:tab w:val="right" w:pos="90"/>
          <w:tab w:val="right" w:pos="180"/>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t>The Islamic bank works to develop and spread savings awareness among individuals and reduce spending for the broad base of peoples with the aim of mobilizing surplus economic resources and idle capital, attracting them and employing them in a sound and stable Islamic base compatible with the Islamic formula.</w:t>
      </w:r>
    </w:p>
    <w:p w:rsidR="0018156F" w:rsidRPr="004279C5" w:rsidRDefault="0018156F" w:rsidP="004279C5">
      <w:pPr>
        <w:pStyle w:val="a3"/>
        <w:numPr>
          <w:ilvl w:val="0"/>
          <w:numId w:val="2"/>
        </w:numPr>
        <w:tabs>
          <w:tab w:val="right" w:pos="90"/>
          <w:tab w:val="left" w:pos="180"/>
          <w:tab w:val="right" w:pos="540"/>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t>There is a strong and positive direct correlation between the independent variable (the market value of Islamic banks) and the approved (the market value of the total Iraqi market for securities), as a result of the increase in the demand of individuals investing in the market to buy the shares of Islamic banks in the market, the application of the investment law in the stock market and the activation of Market database and electronic trading activity.</w:t>
      </w:r>
    </w:p>
    <w:p w:rsidR="0018156F" w:rsidRPr="004279C5" w:rsidRDefault="0018156F" w:rsidP="004279C5">
      <w:pPr>
        <w:pStyle w:val="a3"/>
        <w:numPr>
          <w:ilvl w:val="0"/>
          <w:numId w:val="3"/>
        </w:numPr>
        <w:tabs>
          <w:tab w:val="left" w:pos="462"/>
        </w:tabs>
        <w:bidi w:val="0"/>
        <w:spacing w:after="0"/>
        <w:ind w:left="630"/>
        <w:jc w:val="both"/>
        <w:rPr>
          <w:rFonts w:asciiTheme="majorBidi" w:hAnsiTheme="majorBidi" w:cstheme="majorBidi"/>
          <w:sz w:val="24"/>
          <w:szCs w:val="24"/>
          <w:lang w:bidi="ar-IQ"/>
        </w:rPr>
      </w:pPr>
      <w:r w:rsidRPr="004279C5">
        <w:rPr>
          <w:rFonts w:asciiTheme="majorBidi" w:hAnsiTheme="majorBidi" w:cstheme="majorBidi"/>
          <w:sz w:val="24"/>
          <w:szCs w:val="24"/>
          <w:lang w:bidi="ar-IQ"/>
        </w:rPr>
        <w:t>There is a weak correlation between the independent variable (the trading volume of Islamic banks) and the approved (the trading volume, not the total of the Iraq Stock Exchange), as a result of the instability of the ratio of the trading volume in Islamic banks to the ratio of trading volume in the stock market because the period was unstable The volatility was characterized by an increase and a decrease in the trading volume index for Islamic banks.</w:t>
      </w:r>
    </w:p>
    <w:p w:rsidR="009E3CDF" w:rsidRPr="004279C5" w:rsidRDefault="009E3CDF" w:rsidP="004279C5">
      <w:pPr>
        <w:pStyle w:val="a3"/>
        <w:numPr>
          <w:ilvl w:val="0"/>
          <w:numId w:val="3"/>
        </w:numPr>
        <w:tabs>
          <w:tab w:val="left" w:pos="270"/>
        </w:tabs>
        <w:bidi w:val="0"/>
        <w:spacing w:after="0"/>
        <w:ind w:left="630"/>
        <w:jc w:val="both"/>
        <w:rPr>
          <w:rFonts w:asciiTheme="majorBidi" w:hAnsiTheme="majorBidi" w:cstheme="majorBidi"/>
          <w:sz w:val="24"/>
          <w:szCs w:val="24"/>
          <w:lang w:bidi="ar-IQ"/>
        </w:rPr>
      </w:pPr>
      <w:r w:rsidRPr="004279C5">
        <w:rPr>
          <w:rFonts w:asciiTheme="majorBidi" w:hAnsiTheme="majorBidi" w:cstheme="majorBidi"/>
          <w:sz w:val="24"/>
          <w:szCs w:val="24"/>
          <w:lang w:bidi="ar-IQ"/>
        </w:rPr>
        <w:t>There is a significant impact of Islamic banks in the Iraqi market for securities, where the ratio of the indicators of Islamic banks to the total indicators of the Iraqi market for securities during the study period, where the ratio of the market value index to the total of the Iraqi financial market was (26.48%), and the ratio of the volume index reached Trading (52.95%), these percentages were for the year 2018 and increased significantly from what they were at the beginning of the study period, which confirms the increase in the number of banks and the increase in their activity in the market.</w:t>
      </w:r>
    </w:p>
    <w:p w:rsidR="0018156F" w:rsidRPr="0018156F" w:rsidRDefault="0018156F" w:rsidP="00610747">
      <w:pPr>
        <w:pStyle w:val="a3"/>
        <w:tabs>
          <w:tab w:val="left" w:pos="462"/>
        </w:tabs>
        <w:bidi w:val="0"/>
        <w:spacing w:after="0"/>
        <w:ind w:left="750"/>
        <w:jc w:val="both"/>
        <w:rPr>
          <w:rFonts w:asciiTheme="majorBidi" w:hAnsiTheme="majorBidi" w:cstheme="majorBidi"/>
          <w:sz w:val="10"/>
          <w:szCs w:val="10"/>
          <w:lang w:bidi="ar-IQ"/>
        </w:rPr>
      </w:pPr>
    </w:p>
    <w:p w:rsidR="009E3CDF" w:rsidRDefault="009E3CDF" w:rsidP="00610747">
      <w:pPr>
        <w:tabs>
          <w:tab w:val="left" w:pos="462"/>
        </w:tabs>
        <w:bidi w:val="0"/>
        <w:spacing w:after="0"/>
        <w:jc w:val="both"/>
        <w:rPr>
          <w:rFonts w:asciiTheme="majorBidi" w:hAnsiTheme="majorBidi" w:cstheme="majorBidi"/>
          <w:b/>
          <w:bCs/>
          <w:color w:val="FF0000"/>
          <w:sz w:val="24"/>
          <w:szCs w:val="24"/>
          <w:lang w:bidi="ar-IQ"/>
        </w:rPr>
      </w:pPr>
      <w:r w:rsidRPr="0018156F">
        <w:rPr>
          <w:rFonts w:asciiTheme="majorBidi" w:hAnsiTheme="majorBidi" w:cstheme="majorBidi"/>
          <w:b/>
          <w:bCs/>
          <w:color w:val="FF0000"/>
          <w:sz w:val="24"/>
          <w:szCs w:val="24"/>
          <w:lang w:bidi="ar-IQ"/>
        </w:rPr>
        <w:t>Recommendations</w:t>
      </w:r>
    </w:p>
    <w:p w:rsidR="0018156F" w:rsidRPr="0018156F" w:rsidRDefault="0018156F" w:rsidP="00610747">
      <w:pPr>
        <w:tabs>
          <w:tab w:val="left" w:pos="462"/>
        </w:tabs>
        <w:bidi w:val="0"/>
        <w:spacing w:after="0"/>
        <w:jc w:val="both"/>
        <w:rPr>
          <w:rFonts w:asciiTheme="majorBidi" w:hAnsiTheme="majorBidi" w:cstheme="majorBidi"/>
          <w:b/>
          <w:bCs/>
          <w:color w:val="FF0000"/>
          <w:sz w:val="12"/>
          <w:szCs w:val="12"/>
          <w:lang w:bidi="ar-IQ"/>
        </w:rPr>
      </w:pPr>
    </w:p>
    <w:p w:rsidR="009E3CDF" w:rsidRPr="004279C5" w:rsidRDefault="002D3A1D" w:rsidP="004279C5">
      <w:pPr>
        <w:pStyle w:val="a3"/>
        <w:numPr>
          <w:ilvl w:val="0"/>
          <w:numId w:val="5"/>
        </w:numPr>
        <w:tabs>
          <w:tab w:val="left" w:pos="0"/>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t>The need to raise the capabilities and capabilities of the banking departments in Iraqi Islamic banks at all their administrative and operational levels to advance the reality of financial and banking services provided by Islamic banks in Iraq.</w:t>
      </w:r>
    </w:p>
    <w:p w:rsidR="002D3A1D" w:rsidRPr="004279C5" w:rsidRDefault="002D3A1D" w:rsidP="004279C5">
      <w:pPr>
        <w:pStyle w:val="a3"/>
        <w:numPr>
          <w:ilvl w:val="0"/>
          <w:numId w:val="5"/>
        </w:numPr>
        <w:tabs>
          <w:tab w:val="left" w:pos="0"/>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t>Facilitating the work of Islamic banks and their monitoring by specialized Sharia committees, as well as the supervision of the Central Bank and trying to match their work with Islamic Sharia and increasing their role in the Iraqi economy by carrying out development projects aimed at achieving economic development.</w:t>
      </w:r>
    </w:p>
    <w:p w:rsidR="002D3A1D" w:rsidRPr="004279C5" w:rsidRDefault="002D3A1D" w:rsidP="004279C5">
      <w:pPr>
        <w:pStyle w:val="a3"/>
        <w:numPr>
          <w:ilvl w:val="0"/>
          <w:numId w:val="5"/>
        </w:numPr>
        <w:tabs>
          <w:tab w:val="left" w:pos="462"/>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lastRenderedPageBreak/>
        <w:t>Facilitating the inclusion of Islamic banks in the Iraqi Stock Exchange and encouraging them to trade their shares in the market, which contributes to increasing their role in the Iraqi Stock Exchange.</w:t>
      </w:r>
    </w:p>
    <w:p w:rsidR="002D3A1D" w:rsidRPr="004279C5" w:rsidRDefault="002D3A1D" w:rsidP="004279C5">
      <w:pPr>
        <w:pStyle w:val="a3"/>
        <w:numPr>
          <w:ilvl w:val="0"/>
          <w:numId w:val="5"/>
        </w:numPr>
        <w:tabs>
          <w:tab w:val="left" w:pos="462"/>
        </w:tabs>
        <w:bidi w:val="0"/>
        <w:spacing w:after="0"/>
        <w:jc w:val="both"/>
        <w:rPr>
          <w:rFonts w:asciiTheme="majorBidi" w:hAnsiTheme="majorBidi" w:cstheme="majorBidi"/>
          <w:sz w:val="24"/>
          <w:szCs w:val="24"/>
          <w:lang w:bidi="ar-IQ"/>
        </w:rPr>
      </w:pPr>
      <w:r w:rsidRPr="004279C5">
        <w:rPr>
          <w:rFonts w:asciiTheme="majorBidi" w:hAnsiTheme="majorBidi" w:cstheme="majorBidi"/>
          <w:sz w:val="24"/>
          <w:szCs w:val="24"/>
          <w:lang w:bidi="ar-IQ"/>
        </w:rPr>
        <w:t>Work to enhance disclosure and transparency in the reports published by Islamic banks so that the investor can take his investment decisions in an informed manner.</w:t>
      </w:r>
    </w:p>
    <w:p w:rsidR="00610747" w:rsidRPr="00610747" w:rsidRDefault="00610747" w:rsidP="00610747">
      <w:pPr>
        <w:pStyle w:val="a3"/>
        <w:tabs>
          <w:tab w:val="left" w:pos="462"/>
        </w:tabs>
        <w:bidi w:val="0"/>
        <w:spacing w:after="0"/>
        <w:ind w:left="750"/>
        <w:jc w:val="both"/>
        <w:rPr>
          <w:rFonts w:asciiTheme="majorBidi" w:hAnsiTheme="majorBidi" w:cstheme="majorBidi"/>
          <w:sz w:val="10"/>
          <w:szCs w:val="10"/>
          <w:lang w:bidi="ar-IQ"/>
        </w:rPr>
      </w:pPr>
    </w:p>
    <w:p w:rsidR="00C92D0E" w:rsidRPr="00C92D0E" w:rsidRDefault="009E3CDF" w:rsidP="00610747">
      <w:pPr>
        <w:tabs>
          <w:tab w:val="left" w:pos="462"/>
        </w:tabs>
        <w:bidi w:val="0"/>
        <w:spacing w:after="0"/>
        <w:jc w:val="mediumKashida"/>
        <w:rPr>
          <w:rFonts w:asciiTheme="majorBidi" w:hAnsiTheme="majorBidi" w:cstheme="majorBidi"/>
          <w:b/>
          <w:bCs/>
          <w:color w:val="FF0000"/>
          <w:sz w:val="24"/>
          <w:szCs w:val="24"/>
          <w:lang w:bidi="ar-IQ"/>
        </w:rPr>
      </w:pPr>
      <w:r w:rsidRPr="00C92D0E">
        <w:rPr>
          <w:rFonts w:asciiTheme="majorBidi" w:hAnsiTheme="majorBidi" w:cstheme="majorBidi"/>
          <w:b/>
          <w:bCs/>
          <w:color w:val="FF0000"/>
          <w:sz w:val="24"/>
          <w:szCs w:val="24"/>
          <w:lang w:bidi="ar-IQ"/>
        </w:rPr>
        <w:t>Source</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 Al-Najjar, Ahmed, The Movement of Islamic Banks: Realities of Origin and Illusions of the Image, first edition, Sprint Company, Cairo, Egypt, 1993.</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2- Al-Sharqawi, Aisha, Islamic Banks: The Experience between Jurisprudence, Law and Application, Arab Cultural Center, Casablanca, Morocco, 2000.</w:t>
      </w:r>
    </w:p>
    <w:p w:rsidR="009E3CDF" w:rsidRPr="009E3CDF" w:rsidRDefault="009E3CDF" w:rsidP="00C92D0E">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 xml:space="preserve">3- Al-Khaqani, </w:t>
      </w:r>
      <w:r w:rsidR="00C92D0E">
        <w:rPr>
          <w:rFonts w:asciiTheme="majorBidi" w:hAnsiTheme="majorBidi" w:cstheme="majorBidi"/>
          <w:sz w:val="24"/>
          <w:szCs w:val="24"/>
          <w:lang w:bidi="ar-IQ"/>
        </w:rPr>
        <w:t>n</w:t>
      </w:r>
      <w:r w:rsidRPr="009E3CDF">
        <w:rPr>
          <w:rFonts w:asciiTheme="majorBidi" w:hAnsiTheme="majorBidi" w:cstheme="majorBidi"/>
          <w:sz w:val="24"/>
          <w:szCs w:val="24"/>
          <w:lang w:bidi="ar-IQ"/>
        </w:rPr>
        <w:t>ori Abdul-Rasoul, Islamic Banking: Theoretical Foundations and Application Problems, PhD thesis, College of Administration and Economics, University of Kufa, 2002.</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4- Al-Ajlouni, Muhammad Mahmoud, Islamic Banks: Their Judgments, Principles and Banking Applications, first edition, Dar Al Masirah for Publishing and Distribution, Amman, 2008.</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5- Eid, Adel Abdel-Fadil, Theory of Profit and its Applications in Islamic Bank Transactions, first edition, Dar Al Fikr Al Jamia, Alexandria, 2011.</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6- Kabalan, Hussein Ali, The Role of Islamic Banks in Financing Investments, Master Thesis, Damascus University, Faculty of Economics, 2008.</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7- Al-Moussawi, Haider Younes, Islamic banks: their financial performance and banking impact on the stock market, first edition, Al-Yazourdi Scientific Publishing and Distribution House, Amman, Jordan, Downtown, 2011.</w:t>
      </w:r>
    </w:p>
    <w:p w:rsidR="009E3CDF" w:rsidRPr="009E3CDF" w:rsidRDefault="009E3CDF" w:rsidP="00610747">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8- Al-Zaydaneen, Jamil Salem, Management of Specialized Financial Institutions, second edition, Zahran House for Printing, Publishing and Distribution, Jordan, 1995.</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9- Al-Shammari, Sadiq Rashid, The Basics of the Islamic Banking Industry, first edition, Al-Yazourdi Scientific Publishing and Distribution House, Amman, Jordan, 2008.</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10- Al-Junaidel, Ayodhya, Ahmed bin Abdulrahman, and Emil Hassan Ayodhya, Investment and Finance in the Islamic Economy, first edition, Jariz House, Part One, 2009.</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11- Al-Daami, Abbas Kazem, Monetary and Financial Policies and the Performance of Financial Markets, first edition, Dar Safaa for Publishing and Distribution, Amman, 2010.</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12- Al-Hindi, Al-Nashef, Khalil, Antoine, Banking Operations and the Financial Market, Part Two - The Legal Concept of the Financial Market and its Relationship to the Banking System, Modern Book Institution, Tripoli, Lebanon, 2000.</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13- Taleb and others, Alaa Farhan, Haidar Younis Kazem, Muhammad Fayez Hassan, Introduction to the Management of Financial Institutions, first edition, Karbala Center for Studies and Research, 2016.</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lastRenderedPageBreak/>
        <w:t>14- RousseauL. Peter and wachtel paul, 2005, Economic Growth and financial Depth: Is the Relationship Extinct Already? ( ww. Stern . nyu . edu / Eco / wkpapers / wider. Pdf . )</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15- Al-Hasnawi, Salem Salal Rahi, Investment and Finance in the Financial Markets, first edition, Cairo - United Arab Company for Marketing and Supplies, 2017.</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16- Al-Naqali, Atef, Privatization and the Stock Exchange in Egypt, Al-Ahram Al-Iktisadi Book, No. 87, 1994.</w:t>
      </w:r>
    </w:p>
    <w:p w:rsidR="009E3CDF" w:rsidRP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17- Andritzky. R tochen , 2007 capital market development in asmall country of Slovenia ( www. imf. ory / external / pubs / ft / wp / 2007 / wpo 72209 .pdf ) .</w:t>
      </w:r>
    </w:p>
    <w:p w:rsidR="009E3CDF" w:rsidRDefault="009E3CDF" w:rsidP="009E3CDF">
      <w:pPr>
        <w:tabs>
          <w:tab w:val="left" w:pos="462"/>
        </w:tabs>
        <w:bidi w:val="0"/>
        <w:spacing w:after="0"/>
        <w:jc w:val="mediumKashida"/>
        <w:rPr>
          <w:rFonts w:asciiTheme="majorBidi" w:hAnsiTheme="majorBidi" w:cstheme="majorBidi"/>
          <w:sz w:val="24"/>
          <w:szCs w:val="24"/>
          <w:lang w:bidi="ar-IQ"/>
        </w:rPr>
      </w:pPr>
      <w:r w:rsidRPr="009E3CDF">
        <w:rPr>
          <w:rFonts w:asciiTheme="majorBidi" w:hAnsiTheme="majorBidi" w:cstheme="majorBidi"/>
          <w:sz w:val="24"/>
          <w:szCs w:val="24"/>
          <w:lang w:bidi="ar-IQ"/>
        </w:rPr>
        <w:t>18- Annual bulletins of the Iraq Stock Exchange for the period (2004 - 20118).</w:t>
      </w:r>
    </w:p>
    <w:p w:rsidR="006F2D70" w:rsidRDefault="006F2D70" w:rsidP="006F2D70">
      <w:pPr>
        <w:tabs>
          <w:tab w:val="left" w:pos="462"/>
        </w:tabs>
        <w:bidi w:val="0"/>
        <w:spacing w:after="0"/>
        <w:jc w:val="mediumKashida"/>
        <w:rPr>
          <w:rFonts w:asciiTheme="majorBidi" w:hAnsiTheme="majorBidi" w:cstheme="majorBidi"/>
          <w:sz w:val="24"/>
          <w:szCs w:val="24"/>
          <w:lang w:bidi="ar-IQ"/>
        </w:rPr>
      </w:pPr>
      <w:r>
        <w:rPr>
          <w:rFonts w:asciiTheme="majorBidi" w:hAnsiTheme="majorBidi" w:cstheme="majorBidi"/>
          <w:sz w:val="24"/>
          <w:szCs w:val="24"/>
          <w:lang w:bidi="ar-IQ"/>
        </w:rPr>
        <w:t>19-</w:t>
      </w:r>
      <w:r w:rsidRPr="006F2D70">
        <w:t xml:space="preserve"> </w:t>
      </w:r>
      <w:r w:rsidRPr="006F2D70">
        <w:rPr>
          <w:rFonts w:asciiTheme="majorBidi" w:hAnsiTheme="majorBidi" w:cstheme="majorBidi"/>
          <w:sz w:val="24"/>
          <w:szCs w:val="24"/>
          <w:lang w:bidi="ar-IQ"/>
        </w:rPr>
        <w:t>Al-Rawi, Khasha Mahmoud, Introduction to Regression Analysis, Dar Al-Kutub for Publishing, Mosul University, 1987.</w:t>
      </w:r>
      <w:r>
        <w:rPr>
          <w:rFonts w:asciiTheme="majorBidi" w:hAnsiTheme="majorBidi" w:cstheme="majorBidi"/>
          <w:sz w:val="24"/>
          <w:szCs w:val="24"/>
          <w:lang w:bidi="ar-IQ"/>
        </w:rPr>
        <w:t xml:space="preserve"> </w:t>
      </w:r>
    </w:p>
    <w:p w:rsidR="006F2D70" w:rsidRPr="009E3CDF" w:rsidRDefault="006F2D70" w:rsidP="006F2D70">
      <w:pPr>
        <w:tabs>
          <w:tab w:val="left" w:pos="462"/>
        </w:tabs>
        <w:bidi w:val="0"/>
        <w:spacing w:after="0"/>
        <w:jc w:val="mediumKashida"/>
        <w:rPr>
          <w:rFonts w:asciiTheme="majorBidi" w:hAnsiTheme="majorBidi" w:cstheme="majorBidi"/>
          <w:sz w:val="24"/>
          <w:szCs w:val="24"/>
          <w:lang w:bidi="ar-IQ"/>
        </w:rPr>
      </w:pPr>
    </w:p>
    <w:p w:rsidR="009E3CDF" w:rsidRDefault="009E3CDF" w:rsidP="009E3CDF">
      <w:pPr>
        <w:tabs>
          <w:tab w:val="left" w:pos="462"/>
        </w:tabs>
        <w:bidi w:val="0"/>
        <w:spacing w:after="0"/>
        <w:rPr>
          <w:rFonts w:asciiTheme="majorBidi" w:hAnsiTheme="majorBidi" w:cstheme="majorBidi"/>
          <w:b/>
          <w:bCs/>
          <w:sz w:val="24"/>
          <w:szCs w:val="24"/>
          <w:lang w:bidi="ar-IQ"/>
        </w:rPr>
      </w:pPr>
    </w:p>
    <w:p w:rsidR="009E3CDF" w:rsidRPr="00AE7864" w:rsidRDefault="009E3CDF" w:rsidP="009E3CDF">
      <w:pPr>
        <w:tabs>
          <w:tab w:val="left" w:pos="462"/>
        </w:tabs>
        <w:bidi w:val="0"/>
        <w:spacing w:after="0"/>
        <w:rPr>
          <w:rFonts w:asciiTheme="majorBidi" w:hAnsiTheme="majorBidi" w:cstheme="majorBidi"/>
          <w:b/>
          <w:bCs/>
          <w:sz w:val="24"/>
          <w:szCs w:val="24"/>
          <w:lang w:bidi="ar-IQ"/>
        </w:rPr>
      </w:pPr>
    </w:p>
    <w:sectPr w:rsidR="009E3CDF" w:rsidRPr="00AE7864" w:rsidSect="002E778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68" w:rsidRDefault="001D5C68" w:rsidP="00655EF7">
      <w:pPr>
        <w:spacing w:after="0" w:line="240" w:lineRule="auto"/>
      </w:pPr>
      <w:r>
        <w:separator/>
      </w:r>
    </w:p>
  </w:endnote>
  <w:endnote w:type="continuationSeparator" w:id="1">
    <w:p w:rsidR="001D5C68" w:rsidRDefault="001D5C68" w:rsidP="00655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92036016"/>
      <w:docPartObj>
        <w:docPartGallery w:val="Page Numbers (Bottom of Page)"/>
        <w:docPartUnique/>
      </w:docPartObj>
    </w:sdtPr>
    <w:sdtContent>
      <w:p w:rsidR="002A5D5F" w:rsidRDefault="009E291D">
        <w:pPr>
          <w:pStyle w:val="a6"/>
          <w:jc w:val="center"/>
        </w:pPr>
        <w:fldSimple w:instr=" PAGE   \* MERGEFORMAT ">
          <w:r w:rsidR="00BD3583" w:rsidRPr="00BD3583">
            <w:rPr>
              <w:rFonts w:cs="Calibri"/>
              <w:noProof/>
              <w:rtl/>
              <w:lang w:val="ar-SA"/>
            </w:rPr>
            <w:t>20</w:t>
          </w:r>
        </w:fldSimple>
      </w:p>
    </w:sdtContent>
  </w:sdt>
  <w:p w:rsidR="002A5D5F" w:rsidRDefault="002A5D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68" w:rsidRDefault="001D5C68" w:rsidP="00655EF7">
      <w:pPr>
        <w:spacing w:after="0" w:line="240" w:lineRule="auto"/>
      </w:pPr>
      <w:r>
        <w:separator/>
      </w:r>
    </w:p>
  </w:footnote>
  <w:footnote w:type="continuationSeparator" w:id="1">
    <w:p w:rsidR="001D5C68" w:rsidRDefault="001D5C68" w:rsidP="00655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EB3"/>
    <w:multiLevelType w:val="hybridMultilevel"/>
    <w:tmpl w:val="7C52BE1E"/>
    <w:lvl w:ilvl="0" w:tplc="16E23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D4BC3"/>
    <w:multiLevelType w:val="hybridMultilevel"/>
    <w:tmpl w:val="15D86748"/>
    <w:lvl w:ilvl="0" w:tplc="689C87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D080A"/>
    <w:multiLevelType w:val="hybridMultilevel"/>
    <w:tmpl w:val="2BB40266"/>
    <w:lvl w:ilvl="0" w:tplc="9C026A30">
      <w:start w:val="1"/>
      <w:numFmt w:val="decimal"/>
      <w:lvlText w:val="%1-"/>
      <w:lvlJc w:val="left"/>
      <w:pPr>
        <w:ind w:left="570" w:hanging="39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86081"/>
    <w:multiLevelType w:val="hybridMultilevel"/>
    <w:tmpl w:val="768665AE"/>
    <w:lvl w:ilvl="0" w:tplc="46128FB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84E5C"/>
    <w:multiLevelType w:val="hybridMultilevel"/>
    <w:tmpl w:val="D922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925906"/>
    <w:rsid w:val="0001430D"/>
    <w:rsid w:val="00014855"/>
    <w:rsid w:val="00022949"/>
    <w:rsid w:val="0004544E"/>
    <w:rsid w:val="00061F19"/>
    <w:rsid w:val="000C4F4A"/>
    <w:rsid w:val="00133B25"/>
    <w:rsid w:val="001365AB"/>
    <w:rsid w:val="00174F62"/>
    <w:rsid w:val="0018156F"/>
    <w:rsid w:val="00183D12"/>
    <w:rsid w:val="00196B76"/>
    <w:rsid w:val="001B41D2"/>
    <w:rsid w:val="001C0C88"/>
    <w:rsid w:val="001D5C68"/>
    <w:rsid w:val="001F08A3"/>
    <w:rsid w:val="001F220C"/>
    <w:rsid w:val="001F2DDE"/>
    <w:rsid w:val="001F4898"/>
    <w:rsid w:val="001F7980"/>
    <w:rsid w:val="00200DE0"/>
    <w:rsid w:val="002610CF"/>
    <w:rsid w:val="00274503"/>
    <w:rsid w:val="002A5D5F"/>
    <w:rsid w:val="002B014D"/>
    <w:rsid w:val="002D3A1D"/>
    <w:rsid w:val="002E7788"/>
    <w:rsid w:val="00335B35"/>
    <w:rsid w:val="003B4517"/>
    <w:rsid w:val="003B6E9D"/>
    <w:rsid w:val="003C1E2E"/>
    <w:rsid w:val="003E2F38"/>
    <w:rsid w:val="003F0D44"/>
    <w:rsid w:val="003F56C5"/>
    <w:rsid w:val="004279C5"/>
    <w:rsid w:val="00431040"/>
    <w:rsid w:val="00446C7D"/>
    <w:rsid w:val="004526B3"/>
    <w:rsid w:val="0049605E"/>
    <w:rsid w:val="004C63F0"/>
    <w:rsid w:val="005029E9"/>
    <w:rsid w:val="005408E8"/>
    <w:rsid w:val="00563A7C"/>
    <w:rsid w:val="005E0CD0"/>
    <w:rsid w:val="005E1DAE"/>
    <w:rsid w:val="005E272D"/>
    <w:rsid w:val="005E566A"/>
    <w:rsid w:val="00610747"/>
    <w:rsid w:val="00625294"/>
    <w:rsid w:val="00655EF7"/>
    <w:rsid w:val="006600E0"/>
    <w:rsid w:val="006C7B16"/>
    <w:rsid w:val="006E303B"/>
    <w:rsid w:val="006F2D70"/>
    <w:rsid w:val="00767A13"/>
    <w:rsid w:val="007A2502"/>
    <w:rsid w:val="007B5CB4"/>
    <w:rsid w:val="008125BC"/>
    <w:rsid w:val="0088147E"/>
    <w:rsid w:val="0089592B"/>
    <w:rsid w:val="0091457F"/>
    <w:rsid w:val="00925906"/>
    <w:rsid w:val="00930256"/>
    <w:rsid w:val="00932887"/>
    <w:rsid w:val="009427DA"/>
    <w:rsid w:val="009B4DC8"/>
    <w:rsid w:val="009D3B4E"/>
    <w:rsid w:val="009E291D"/>
    <w:rsid w:val="009E3CDF"/>
    <w:rsid w:val="009E761C"/>
    <w:rsid w:val="00A34BF7"/>
    <w:rsid w:val="00A63C49"/>
    <w:rsid w:val="00A82AF2"/>
    <w:rsid w:val="00AB36D5"/>
    <w:rsid w:val="00AD0663"/>
    <w:rsid w:val="00AE0C7B"/>
    <w:rsid w:val="00AE7864"/>
    <w:rsid w:val="00B06ADE"/>
    <w:rsid w:val="00B1072E"/>
    <w:rsid w:val="00B272C9"/>
    <w:rsid w:val="00B377CB"/>
    <w:rsid w:val="00B738A8"/>
    <w:rsid w:val="00B878A3"/>
    <w:rsid w:val="00BC477A"/>
    <w:rsid w:val="00BD3583"/>
    <w:rsid w:val="00C1663A"/>
    <w:rsid w:val="00C27C62"/>
    <w:rsid w:val="00C65222"/>
    <w:rsid w:val="00C92D0E"/>
    <w:rsid w:val="00CA06ED"/>
    <w:rsid w:val="00CA1620"/>
    <w:rsid w:val="00CB01F7"/>
    <w:rsid w:val="00CB1BEA"/>
    <w:rsid w:val="00CB56AE"/>
    <w:rsid w:val="00CC0B17"/>
    <w:rsid w:val="00CD2BC8"/>
    <w:rsid w:val="00D55ADD"/>
    <w:rsid w:val="00D64C0D"/>
    <w:rsid w:val="00D943DD"/>
    <w:rsid w:val="00DA6317"/>
    <w:rsid w:val="00DC6546"/>
    <w:rsid w:val="00DD117D"/>
    <w:rsid w:val="00E04F57"/>
    <w:rsid w:val="00E236EC"/>
    <w:rsid w:val="00E335FB"/>
    <w:rsid w:val="00E35B33"/>
    <w:rsid w:val="00E56446"/>
    <w:rsid w:val="00F664DE"/>
    <w:rsid w:val="00F667BD"/>
    <w:rsid w:val="00F87B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F4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620"/>
    <w:pPr>
      <w:ind w:left="720"/>
      <w:contextualSpacing/>
    </w:pPr>
  </w:style>
  <w:style w:type="table" w:styleId="a4">
    <w:name w:val="Table Grid"/>
    <w:basedOn w:val="a1"/>
    <w:uiPriority w:val="59"/>
    <w:rsid w:val="004526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2B014D"/>
    <w:pPr>
      <w:spacing w:after="160" w:line="259" w:lineRule="auto"/>
    </w:pPr>
    <w:rPr>
      <w:rFonts w:ascii="Calibri" w:eastAsia="Calibri" w:hAnsi="Calibri" w:cs="Calibri"/>
    </w:rPr>
  </w:style>
  <w:style w:type="paragraph" w:styleId="a5">
    <w:name w:val="header"/>
    <w:basedOn w:val="a"/>
    <w:link w:val="Char"/>
    <w:uiPriority w:val="99"/>
    <w:semiHidden/>
    <w:unhideWhenUsed/>
    <w:rsid w:val="00655EF7"/>
    <w:pPr>
      <w:tabs>
        <w:tab w:val="center" w:pos="4513"/>
        <w:tab w:val="right" w:pos="9026"/>
      </w:tabs>
      <w:spacing w:after="0" w:line="240" w:lineRule="auto"/>
    </w:pPr>
  </w:style>
  <w:style w:type="character" w:customStyle="1" w:styleId="Char">
    <w:name w:val="رأس صفحة Char"/>
    <w:basedOn w:val="a0"/>
    <w:link w:val="a5"/>
    <w:uiPriority w:val="99"/>
    <w:semiHidden/>
    <w:rsid w:val="00655EF7"/>
  </w:style>
  <w:style w:type="paragraph" w:styleId="a6">
    <w:name w:val="footer"/>
    <w:basedOn w:val="a"/>
    <w:link w:val="Char0"/>
    <w:uiPriority w:val="99"/>
    <w:unhideWhenUsed/>
    <w:rsid w:val="00655EF7"/>
    <w:pPr>
      <w:tabs>
        <w:tab w:val="center" w:pos="4513"/>
        <w:tab w:val="right" w:pos="9026"/>
      </w:tabs>
      <w:spacing w:after="0" w:line="240" w:lineRule="auto"/>
    </w:pPr>
  </w:style>
  <w:style w:type="character" w:customStyle="1" w:styleId="Char0">
    <w:name w:val="تذييل صفحة Char"/>
    <w:basedOn w:val="a0"/>
    <w:link w:val="a6"/>
    <w:uiPriority w:val="99"/>
    <w:rsid w:val="00655EF7"/>
  </w:style>
  <w:style w:type="paragraph" w:customStyle="1" w:styleId="1">
    <w:name w:val="عادي1"/>
    <w:rsid w:val="001F2DDE"/>
    <w:pPr>
      <w:spacing w:after="160" w:line="259" w:lineRule="auto"/>
    </w:pPr>
    <w:rPr>
      <w:rFonts w:ascii="Calibri" w:eastAsia="Calibri" w:hAnsi="Calibri" w:cs="Calibri"/>
    </w:rPr>
  </w:style>
  <w:style w:type="paragraph" w:styleId="a7">
    <w:name w:val="Balloon Text"/>
    <w:basedOn w:val="a"/>
    <w:link w:val="Char1"/>
    <w:uiPriority w:val="99"/>
    <w:semiHidden/>
    <w:unhideWhenUsed/>
    <w:rsid w:val="001F2DD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F2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style val="34"/>
  <c:clrMapOvr bg1="lt1" tx1="dk1" bg2="lt2" tx2="dk2" accent1="accent1" accent2="accent2" accent3="accent3" accent4="accent4" accent5="accent5" accent6="accent6" hlink="hlink" folHlink="folHlink"/>
  <c:chart>
    <c:plotArea>
      <c:layout>
        <c:manualLayout>
          <c:layoutTarget val="inner"/>
          <c:xMode val="edge"/>
          <c:yMode val="edge"/>
          <c:x val="0.14110254660790353"/>
          <c:y val="1.8433136220714505E-2"/>
          <c:w val="0.77455864360990545"/>
          <c:h val="0.71787195955344385"/>
        </c:manualLayout>
      </c:layout>
      <c:barChart>
        <c:barDir val="col"/>
        <c:grouping val="clustered"/>
        <c:ser>
          <c:idx val="0"/>
          <c:order val="0"/>
          <c:tx>
            <c:strRef>
              <c:f>ورقة1!$B$1</c:f>
              <c:strCache>
                <c:ptCount val="1"/>
                <c:pt idx="0">
                  <c:v>سلسلة 1</c:v>
                </c:pt>
              </c:strCache>
            </c:strRef>
          </c:tx>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ورقة1!$B$2:$B$16</c:f>
              <c:numCache>
                <c:formatCode>General</c:formatCode>
                <c:ptCount val="15"/>
                <c:pt idx="0">
                  <c:v>11376</c:v>
                </c:pt>
              </c:numCache>
            </c:numRef>
          </c:val>
        </c:ser>
        <c:ser>
          <c:idx val="1"/>
          <c:order val="1"/>
          <c:tx>
            <c:strRef>
              <c:f>ورقة1!$C$1</c:f>
              <c:strCache>
                <c:ptCount val="1"/>
                <c:pt idx="0">
                  <c:v>سلسلة 2</c:v>
                </c:pt>
              </c:strCache>
            </c:strRef>
          </c:tx>
          <c:spPr>
            <a:ln w="76325">
              <a:solidFill>
                <a:srgbClr val="FF000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ورقة1!$C$3:$C$16</c:f>
              <c:numCache>
                <c:formatCode>General</c:formatCode>
                <c:ptCount val="14"/>
                <c:pt idx="0">
                  <c:v>104944</c:v>
                </c:pt>
              </c:numCache>
            </c:numRef>
          </c:val>
        </c:ser>
        <c:ser>
          <c:idx val="2"/>
          <c:order val="2"/>
          <c:tx>
            <c:strRef>
              <c:f>ورقة1!$D$1</c:f>
              <c:strCache>
                <c:ptCount val="1"/>
                <c:pt idx="0">
                  <c:v>سلسلة 3</c:v>
                </c:pt>
              </c:strCache>
            </c:strRef>
          </c:tx>
          <c:spPr>
            <a:ln w="76325">
              <a:solidFill>
                <a:srgbClr val="0070C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ورقة1!$D$3:$D$16</c:f>
              <c:numCache>
                <c:formatCode>General</c:formatCode>
                <c:ptCount val="14"/>
                <c:pt idx="1">
                  <c:v>221757</c:v>
                </c:pt>
              </c:numCache>
            </c:numRef>
          </c:val>
        </c:ser>
        <c:ser>
          <c:idx val="3"/>
          <c:order val="3"/>
          <c:tx>
            <c:strRef>
              <c:f>ورقة1!$E$1</c:f>
              <c:strCache>
                <c:ptCount val="1"/>
                <c:pt idx="0">
                  <c:v>سلسلة 4</c:v>
                </c:pt>
              </c:strCache>
            </c:strRef>
          </c:tx>
          <c:spPr>
            <a:ln w="76325">
              <a:solidFill>
                <a:srgbClr val="C0000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ورقة1!$E$3:$E$16</c:f>
              <c:numCache>
                <c:formatCode>General</c:formatCode>
                <c:ptCount val="14"/>
                <c:pt idx="2">
                  <c:v>107977</c:v>
                </c:pt>
                <c:pt idx="5">
                  <c:v>0</c:v>
                </c:pt>
              </c:numCache>
            </c:numRef>
          </c:val>
        </c:ser>
        <c:ser>
          <c:idx val="4"/>
          <c:order val="4"/>
          <c:tx>
            <c:strRef>
              <c:f>ورقة1!$F$1</c:f>
              <c:strCache>
                <c:ptCount val="1"/>
                <c:pt idx="0">
                  <c:v>سلسلة 5</c:v>
                </c:pt>
              </c:strCache>
            </c:strRef>
          </c:tx>
          <c:spPr>
            <a:ln w="76325">
              <a:solidFill>
                <a:schemeClr val="tx1"/>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ورقة1!$F$3:$F$16</c:f>
              <c:numCache>
                <c:formatCode>General</c:formatCode>
                <c:ptCount val="14"/>
                <c:pt idx="3">
                  <c:v>100477</c:v>
                </c:pt>
              </c:numCache>
            </c:numRef>
          </c:val>
        </c:ser>
        <c:ser>
          <c:idx val="5"/>
          <c:order val="5"/>
          <c:tx>
            <c:strRef>
              <c:f>ورقة1!$G$1</c:f>
              <c:strCache>
                <c:ptCount val="1"/>
                <c:pt idx="0">
                  <c:v>سلسلة 6</c:v>
                </c:pt>
              </c:strCache>
            </c:strRef>
          </c:tx>
          <c:spPr>
            <a:ln w="76325">
              <a:solidFill>
                <a:srgbClr val="00B0F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ورقة1!$G$3:$G$16</c:f>
              <c:numCache>
                <c:formatCode>General</c:formatCode>
                <c:ptCount val="14"/>
                <c:pt idx="4">
                  <c:v>146252</c:v>
                </c:pt>
              </c:numCache>
            </c:numRef>
          </c:val>
        </c:ser>
        <c:ser>
          <c:idx val="6"/>
          <c:order val="6"/>
          <c:tx>
            <c:strRef>
              <c:f>ورقة1!$H$1</c:f>
              <c:strCache>
                <c:ptCount val="1"/>
                <c:pt idx="0">
                  <c:v>سلسلة 7</c:v>
                </c:pt>
              </c:strCache>
            </c:strRef>
          </c:tx>
          <c:spPr>
            <a:ln w="76325">
              <a:solidFill>
                <a:srgbClr val="00B05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ورقة1!$H$3:$H$16</c:f>
              <c:numCache>
                <c:formatCode>General</c:formatCode>
                <c:ptCount val="14"/>
                <c:pt idx="5">
                  <c:v>223573</c:v>
                </c:pt>
              </c:numCache>
            </c:numRef>
          </c:val>
        </c:ser>
        <c:ser>
          <c:idx val="7"/>
          <c:order val="7"/>
          <c:tx>
            <c:strRef>
              <c:f>ورقة1!$I$1</c:f>
              <c:strCache>
                <c:ptCount val="1"/>
                <c:pt idx="0">
                  <c:v>سلسلة 8</c:v>
                </c:pt>
              </c:strCache>
            </c:strRef>
          </c:tx>
          <c:spPr>
            <a:ln w="76325">
              <a:solidFill>
                <a:srgbClr val="00206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ورقة1!$I$3:$I$16</c:f>
              <c:numCache>
                <c:formatCode>General</c:formatCode>
                <c:ptCount val="14"/>
                <c:pt idx="6">
                  <c:v>617908</c:v>
                </c:pt>
              </c:numCache>
            </c:numRef>
          </c:val>
        </c:ser>
        <c:ser>
          <c:idx val="8"/>
          <c:order val="8"/>
          <c:tx>
            <c:strRef>
              <c:f>ورقة1!$J$1</c:f>
              <c:strCache>
                <c:ptCount val="1"/>
                <c:pt idx="0">
                  <c:v>سلسلة 9</c:v>
                </c:pt>
              </c:strCache>
            </c:strRef>
          </c:tx>
          <c:spPr>
            <a:ln w="76325">
              <a:solidFill>
                <a:schemeClr val="accent5"/>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ورقة1!$J$3:$J$16</c:f>
              <c:numCache>
                <c:formatCode>General</c:formatCode>
                <c:ptCount val="14"/>
                <c:pt idx="7">
                  <c:v>904960</c:v>
                </c:pt>
              </c:numCache>
            </c:numRef>
          </c:val>
        </c:ser>
        <c:ser>
          <c:idx val="9"/>
          <c:order val="9"/>
          <c:tx>
            <c:strRef>
              <c:f>ورقة1!$K$1</c:f>
              <c:strCache>
                <c:ptCount val="1"/>
                <c:pt idx="0">
                  <c:v>سلسلة 10</c:v>
                </c:pt>
              </c:strCache>
            </c:strRef>
          </c:tx>
          <c:spPr>
            <a:ln w="76325">
              <a:solidFill>
                <a:srgbClr val="FFC00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ورقة1!$K$3:$K$16</c:f>
              <c:numCache>
                <c:formatCode>General</c:formatCode>
                <c:ptCount val="14"/>
                <c:pt idx="8">
                  <c:v>1111890</c:v>
                </c:pt>
              </c:numCache>
            </c:numRef>
          </c:val>
        </c:ser>
        <c:ser>
          <c:idx val="10"/>
          <c:order val="10"/>
          <c:tx>
            <c:strRef>
              <c:f>ورقة1!$L$1</c:f>
              <c:strCache>
                <c:ptCount val="1"/>
                <c:pt idx="0">
                  <c:v>سلسلة 11</c:v>
                </c:pt>
              </c:strCache>
            </c:strRef>
          </c:tx>
          <c:spPr>
            <a:ln w="76325">
              <a:solidFill>
                <a:srgbClr val="0070C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ورقة1!$L$3:$L$16</c:f>
              <c:numCache>
                <c:formatCode>General</c:formatCode>
                <c:ptCount val="14"/>
                <c:pt idx="9">
                  <c:v>1174460</c:v>
                </c:pt>
              </c:numCache>
            </c:numRef>
          </c:val>
        </c:ser>
        <c:ser>
          <c:idx val="11"/>
          <c:order val="11"/>
          <c:tx>
            <c:strRef>
              <c:f>ورقة1!$M$1</c:f>
              <c:strCache>
                <c:ptCount val="1"/>
                <c:pt idx="0">
                  <c:v>سلسلة 12</c:v>
                </c:pt>
              </c:strCache>
            </c:strRef>
          </c:tx>
          <c:spPr>
            <a:ln w="76325">
              <a:solidFill>
                <a:schemeClr val="accent4"/>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ورقة1!$M$3:$M$16</c:f>
              <c:numCache>
                <c:formatCode>General</c:formatCode>
                <c:ptCount val="14"/>
                <c:pt idx="10">
                  <c:v>1084610</c:v>
                </c:pt>
              </c:numCache>
            </c:numRef>
          </c:val>
        </c:ser>
        <c:ser>
          <c:idx val="12"/>
          <c:order val="12"/>
          <c:tx>
            <c:strRef>
              <c:f>ورقة1!$N$1</c:f>
              <c:strCache>
                <c:ptCount val="1"/>
                <c:pt idx="0">
                  <c:v>سلسلة 13</c:v>
                </c:pt>
              </c:strCache>
            </c:strRef>
          </c:tx>
          <c:spPr>
            <a:ln w="76325">
              <a:solidFill>
                <a:srgbClr val="00B0F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ورقة1!$N$3:$N$16</c:f>
              <c:numCache>
                <c:formatCode>General</c:formatCode>
                <c:ptCount val="14"/>
                <c:pt idx="11">
                  <c:v>1233960</c:v>
                </c:pt>
              </c:numCache>
            </c:numRef>
          </c:val>
        </c:ser>
        <c:ser>
          <c:idx val="13"/>
          <c:order val="13"/>
          <c:tx>
            <c:strRef>
              <c:f>ورقة1!$O$1</c:f>
              <c:strCache>
                <c:ptCount val="1"/>
                <c:pt idx="0">
                  <c:v>سلسلة 14</c:v>
                </c:pt>
              </c:strCache>
            </c:strRef>
          </c:tx>
          <c:spPr>
            <a:ln>
              <a:solidFill>
                <a:srgbClr val="00B050"/>
              </a:solidFill>
            </a:ln>
          </c:spPr>
          <c:dPt>
            <c:idx val="12"/>
            <c:spPr>
              <a:ln w="76325">
                <a:solidFill>
                  <a:srgbClr val="00B050"/>
                </a:solidFill>
              </a:ln>
            </c:spPr>
          </c:dPt>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ورقة1!$O$3:$O$16</c:f>
              <c:numCache>
                <c:formatCode>General</c:formatCode>
                <c:ptCount val="14"/>
                <c:pt idx="12">
                  <c:v>2934960</c:v>
                </c:pt>
              </c:numCache>
            </c:numRef>
          </c:val>
        </c:ser>
        <c:ser>
          <c:idx val="14"/>
          <c:order val="14"/>
          <c:tx>
            <c:strRef>
              <c:f>ورقة1!$P$1</c:f>
              <c:strCache>
                <c:ptCount val="1"/>
                <c:pt idx="0">
                  <c:v>سلسلة 15</c:v>
                </c:pt>
              </c:strCache>
            </c:strRef>
          </c:tx>
          <c:spPr>
            <a:ln w="76325">
              <a:solidFill>
                <a:srgbClr val="FF0000"/>
              </a:solidFill>
            </a:ln>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ورقة1!$P$3:$P$16</c:f>
              <c:numCache>
                <c:formatCode>General</c:formatCode>
                <c:ptCount val="14"/>
                <c:pt idx="13">
                  <c:v>2629150</c:v>
                </c:pt>
              </c:numCache>
            </c:numRef>
          </c:val>
        </c:ser>
        <c:gapWidth val="75"/>
        <c:overlap val="-25"/>
        <c:axId val="76661888"/>
        <c:axId val="76663424"/>
      </c:barChart>
      <c:catAx>
        <c:axId val="76661888"/>
        <c:scaling>
          <c:orientation val="minMax"/>
        </c:scaling>
        <c:axPos val="b"/>
        <c:numFmt formatCode="General" sourceLinked="1"/>
        <c:majorTickMark val="none"/>
        <c:tickLblPos val="nextTo"/>
        <c:txPr>
          <a:bodyPr/>
          <a:lstStyle/>
          <a:p>
            <a:pPr>
              <a:defRPr sz="1200"/>
            </a:pPr>
            <a:endParaRPr lang="ar-IQ"/>
          </a:p>
        </c:txPr>
        <c:crossAx val="76663424"/>
        <c:crosses val="autoZero"/>
        <c:auto val="1"/>
        <c:lblAlgn val="ctr"/>
        <c:lblOffset val="100"/>
      </c:catAx>
      <c:valAx>
        <c:axId val="76663424"/>
        <c:scaling>
          <c:orientation val="minMax"/>
        </c:scaling>
        <c:axPos val="l"/>
        <c:majorGridlines/>
        <c:numFmt formatCode="General" sourceLinked="1"/>
        <c:majorTickMark val="none"/>
        <c:tickLblPos val="nextTo"/>
        <c:spPr>
          <a:ln w="9541">
            <a:noFill/>
          </a:ln>
        </c:spPr>
        <c:crossAx val="76661888"/>
        <c:crosses val="autoZero"/>
        <c:crossBetween val="between"/>
      </c:valAx>
      <c:spPr>
        <a:noFill/>
        <a:ln w="25442">
          <a:noFill/>
        </a:ln>
      </c:spPr>
    </c:plotArea>
    <c:plotVisOnly val="1"/>
    <c:dispBlanksAs val="gap"/>
  </c:chart>
  <c:txPr>
    <a:bodyPr/>
    <a:lstStyle/>
    <a:p>
      <a:pPr>
        <a:defRPr sz="1100" b="1"/>
      </a:pPr>
      <a:endParaRPr lang="ar-IQ"/>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lrMapOvr bg1="lt1" tx1="dk1" bg2="lt2" tx2="dk2" accent1="accent1" accent2="accent2" accent3="accent3" accent4="accent4" accent5="accent5" accent6="accent6" hlink="hlink" folHlink="folHlink"/>
  <c:chart>
    <c:plotArea>
      <c:layout>
        <c:manualLayout>
          <c:layoutTarget val="inner"/>
          <c:xMode val="edge"/>
          <c:yMode val="edge"/>
          <c:x val="0.13528000175863211"/>
          <c:y val="0.12913912878314995"/>
          <c:w val="0.83697582028941364"/>
          <c:h val="0.48642470531562709"/>
        </c:manualLayout>
      </c:layout>
      <c:barChart>
        <c:barDir val="col"/>
        <c:grouping val="clustered"/>
        <c:ser>
          <c:idx val="0"/>
          <c:order val="0"/>
          <c:tx>
            <c:strRef>
              <c:f>ورقة1!$B$1</c:f>
              <c:strCache>
                <c:ptCount val="1"/>
                <c:pt idx="0">
                  <c:v>سلسلة 1</c:v>
                </c:pt>
              </c:strCache>
            </c:strRef>
          </c:tx>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ورقة1!$B$2:$B$16</c:f>
              <c:numCache>
                <c:formatCode>General</c:formatCode>
                <c:ptCount val="15"/>
                <c:pt idx="0">
                  <c:v>1174</c:v>
                </c:pt>
              </c:numCache>
            </c:numRef>
          </c:val>
        </c:ser>
        <c:ser>
          <c:idx val="1"/>
          <c:order val="1"/>
          <c:tx>
            <c:strRef>
              <c:f>ورقة1!$C$1</c:f>
              <c:strCache>
                <c:ptCount val="1"/>
                <c:pt idx="0">
                  <c:v>سلسلة 2</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76228" cap="flat" cmpd="sng" algn="ctr">
              <a:solidFill>
                <a:srgbClr val="00B050"/>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ورقة1!$C$3:$C$16</c:f>
              <c:numCache>
                <c:formatCode>General</c:formatCode>
                <c:ptCount val="14"/>
                <c:pt idx="0">
                  <c:v>15549</c:v>
                </c:pt>
              </c:numCache>
            </c:numRef>
          </c:val>
        </c:ser>
        <c:ser>
          <c:idx val="2"/>
          <c:order val="2"/>
          <c:tx>
            <c:strRef>
              <c:f>ورقة1!$D$1</c:f>
              <c:strCache>
                <c:ptCount val="1"/>
                <c:pt idx="0">
                  <c:v>سلسلة 3</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28" cap="flat" cmpd="sng" algn="ctr">
              <a:solidFill>
                <a:schemeClr val="accent2"/>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ورقة1!$D$3:$D$16</c:f>
              <c:numCache>
                <c:formatCode>General</c:formatCode>
                <c:ptCount val="14"/>
                <c:pt idx="1">
                  <c:v>11245</c:v>
                </c:pt>
              </c:numCache>
            </c:numRef>
          </c:val>
        </c:ser>
        <c:ser>
          <c:idx val="3"/>
          <c:order val="3"/>
          <c:tx>
            <c:strRef>
              <c:f>ورقة1!$E$1</c:f>
              <c:strCache>
                <c:ptCount val="1"/>
                <c:pt idx="0">
                  <c:v>سلسلة 4</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76228" cap="flat" cmpd="sng" algn="ctr">
              <a:solidFill>
                <a:schemeClr val="accent4"/>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ورقة1!$E$3:$E$16</c:f>
              <c:numCache>
                <c:formatCode>General</c:formatCode>
                <c:ptCount val="14"/>
                <c:pt idx="2">
                  <c:v>13347</c:v>
                </c:pt>
                <c:pt idx="5">
                  <c:v>0</c:v>
                </c:pt>
              </c:numCache>
            </c:numRef>
          </c:val>
        </c:ser>
        <c:ser>
          <c:idx val="4"/>
          <c:order val="4"/>
          <c:tx>
            <c:strRef>
              <c:f>ورقة1!$F$1</c:f>
              <c:strCache>
                <c:ptCount val="1"/>
                <c:pt idx="0">
                  <c:v>سلسلة 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76228" cap="flat" cmpd="sng" algn="ctr">
              <a:solidFill>
                <a:srgbClr val="FFC000"/>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ورقة1!$F$3:$F$16</c:f>
              <c:numCache>
                <c:formatCode>General</c:formatCode>
                <c:ptCount val="14"/>
                <c:pt idx="3">
                  <c:v>11736</c:v>
                </c:pt>
              </c:numCache>
            </c:numRef>
          </c:val>
        </c:ser>
        <c:ser>
          <c:idx val="5"/>
          <c:order val="5"/>
          <c:tx>
            <c:strRef>
              <c:f>ورقة1!$G$1</c:f>
              <c:strCache>
                <c:ptCount val="1"/>
                <c:pt idx="0">
                  <c:v>سلسلة 6</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76228"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ورقة1!$G$3:$G$16</c:f>
              <c:numCache>
                <c:formatCode>General</c:formatCode>
                <c:ptCount val="14"/>
                <c:pt idx="4">
                  <c:v>5815</c:v>
                </c:pt>
              </c:numCache>
            </c:numRef>
          </c:val>
        </c:ser>
        <c:ser>
          <c:idx val="6"/>
          <c:order val="6"/>
          <c:tx>
            <c:strRef>
              <c:f>ورقة1!$H$1</c:f>
              <c:strCache>
                <c:ptCount val="1"/>
                <c:pt idx="0">
                  <c:v>سلسلة 7</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76228" cap="flat" cmpd="sng" algn="ctr">
              <a:solidFill>
                <a:srgbClr val="FFFF00"/>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ورقة1!$H$3:$H$16</c:f>
              <c:numCache>
                <c:formatCode>General</c:formatCode>
                <c:ptCount val="14"/>
                <c:pt idx="5">
                  <c:v>43549</c:v>
                </c:pt>
              </c:numCache>
            </c:numRef>
          </c:val>
        </c:ser>
        <c:ser>
          <c:idx val="7"/>
          <c:order val="7"/>
          <c:tx>
            <c:strRef>
              <c:f>ورقة1!$I$1</c:f>
              <c:strCache>
                <c:ptCount val="1"/>
                <c:pt idx="0">
                  <c:v>سلسلة 8</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28" cap="flat" cmpd="sng" algn="ctr">
              <a:solidFill>
                <a:schemeClr val="accent2">
                  <a:lumMod val="60000"/>
                  <a:lumOff val="40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ورقة1!$I$3:$I$16</c:f>
              <c:numCache>
                <c:formatCode>General</c:formatCode>
                <c:ptCount val="14"/>
                <c:pt idx="6">
                  <c:v>49501</c:v>
                </c:pt>
              </c:numCache>
            </c:numRef>
          </c:val>
        </c:ser>
        <c:ser>
          <c:idx val="8"/>
          <c:order val="8"/>
          <c:tx>
            <c:strRef>
              <c:f>ورقة1!$J$1</c:f>
              <c:strCache>
                <c:ptCount val="1"/>
                <c:pt idx="0">
                  <c:v>سلسلة 9</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76228" cap="flat" cmpd="sng" algn="ctr">
              <a:solidFill>
                <a:srgbClr val="92D050"/>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ورقة1!$J$3:$J$16</c:f>
              <c:numCache>
                <c:formatCode>General</c:formatCode>
                <c:ptCount val="14"/>
                <c:pt idx="7">
                  <c:v>66024</c:v>
                </c:pt>
              </c:numCache>
            </c:numRef>
          </c:val>
        </c:ser>
        <c:ser>
          <c:idx val="9"/>
          <c:order val="9"/>
          <c:tx>
            <c:strRef>
              <c:f>ورقة1!$K$1</c:f>
              <c:strCache>
                <c:ptCount val="1"/>
                <c:pt idx="0">
                  <c:v>سلسلة 10</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76228"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ورقة1!$K$3:$K$16</c:f>
              <c:numCache>
                <c:formatCode>General</c:formatCode>
                <c:ptCount val="14"/>
                <c:pt idx="8">
                  <c:v>201624</c:v>
                </c:pt>
              </c:numCache>
            </c:numRef>
          </c:val>
        </c:ser>
        <c:ser>
          <c:idx val="10"/>
          <c:order val="10"/>
          <c:tx>
            <c:strRef>
              <c:f>ورقة1!$L$1</c:f>
              <c:strCache>
                <c:ptCount val="1"/>
                <c:pt idx="0">
                  <c:v>سلسلة 11</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76228"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ورقة1!$L$3:$L$16</c:f>
              <c:numCache>
                <c:formatCode>General</c:formatCode>
                <c:ptCount val="14"/>
                <c:pt idx="9">
                  <c:v>216252</c:v>
                </c:pt>
              </c:numCache>
            </c:numRef>
          </c:val>
        </c:ser>
        <c:ser>
          <c:idx val="11"/>
          <c:order val="11"/>
          <c:tx>
            <c:strRef>
              <c:f>ورقة1!$M$1</c:f>
              <c:strCache>
                <c:ptCount val="1"/>
                <c:pt idx="0">
                  <c:v>سلسلة 12</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76228"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ورقة1!$M$3:$M$16</c:f>
              <c:numCache>
                <c:formatCode>General</c:formatCode>
                <c:ptCount val="14"/>
                <c:pt idx="10">
                  <c:v>61115</c:v>
                </c:pt>
              </c:numCache>
            </c:numRef>
          </c:val>
        </c:ser>
        <c:ser>
          <c:idx val="12"/>
          <c:order val="12"/>
          <c:tx>
            <c:strRef>
              <c:f>ورقة1!$N$1</c:f>
              <c:strCache>
                <c:ptCount val="1"/>
                <c:pt idx="0">
                  <c:v>سلسلة 13</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76228" cap="flat" cmpd="sng" algn="ctr">
              <a:solidFill>
                <a:schemeClr val="accent5">
                  <a:lumMod val="50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ورقة1!$N$3:$N$16</c:f>
              <c:numCache>
                <c:formatCode>General</c:formatCode>
                <c:ptCount val="14"/>
                <c:pt idx="11">
                  <c:v>41758.023999999998</c:v>
                </c:pt>
              </c:numCache>
            </c:numRef>
          </c:val>
        </c:ser>
        <c:ser>
          <c:idx val="13"/>
          <c:order val="13"/>
          <c:tx>
            <c:strRef>
              <c:f>ورقة1!$O$1</c:f>
              <c:strCache>
                <c:ptCount val="1"/>
                <c:pt idx="0">
                  <c:v>سلسلة 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76228" cap="flat" cmpd="sng" algn="ctr">
              <a:solidFill>
                <a:srgbClr val="FF0000"/>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ورقة1!$O$3:$O$16</c:f>
              <c:numCache>
                <c:formatCode>General</c:formatCode>
                <c:ptCount val="14"/>
                <c:pt idx="12">
                  <c:v>368248.73150000098</c:v>
                </c:pt>
              </c:numCache>
            </c:numRef>
          </c:val>
        </c:ser>
        <c:ser>
          <c:idx val="14"/>
          <c:order val="14"/>
          <c:tx>
            <c:strRef>
              <c:f>ورقة1!$P$1</c:f>
              <c:strCache>
                <c:ptCount val="1"/>
                <c:pt idx="0">
                  <c:v>سلسلة 15</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76228" cap="flat" cmpd="sng" algn="ctr">
              <a:solidFill>
                <a:schemeClr val="accent3">
                  <a:lumMod val="75000"/>
                </a:schemeClr>
              </a:solidFill>
              <a:prstDash val="solid"/>
            </a:ln>
            <a:effectLst>
              <a:outerShdw blurRad="40000" dist="20000" dir="5400000" rotWithShape="0">
                <a:srgbClr val="000000">
                  <a:alpha val="38000"/>
                </a:srgbClr>
              </a:outerShdw>
            </a:effectLst>
          </c:spPr>
          <c:cat>
            <c:numRef>
              <c:f>ورقة1!$A$2:$A$16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ورقة1!$P$3:$P$16</c:f>
              <c:numCache>
                <c:formatCode>General</c:formatCode>
                <c:ptCount val="14"/>
                <c:pt idx="13">
                  <c:v>246996.01</c:v>
                </c:pt>
              </c:numCache>
            </c:numRef>
          </c:val>
        </c:ser>
        <c:axId val="167211776"/>
        <c:axId val="167213312"/>
      </c:barChart>
      <c:catAx>
        <c:axId val="167211776"/>
        <c:scaling>
          <c:orientation val="minMax"/>
        </c:scaling>
        <c:axPos val="b"/>
        <c:numFmt formatCode="General" sourceLinked="1"/>
        <c:tickLblPos val="nextTo"/>
        <c:txPr>
          <a:bodyPr/>
          <a:lstStyle/>
          <a:p>
            <a:pPr>
              <a:defRPr lang="ar-IQ" sz="1100" b="1"/>
            </a:pPr>
            <a:endParaRPr lang="ar-IQ"/>
          </a:p>
        </c:txPr>
        <c:crossAx val="167213312"/>
        <c:crosses val="autoZero"/>
        <c:auto val="1"/>
        <c:lblAlgn val="ctr"/>
        <c:lblOffset val="100"/>
      </c:catAx>
      <c:valAx>
        <c:axId val="167213312"/>
        <c:scaling>
          <c:orientation val="minMax"/>
        </c:scaling>
        <c:axPos val="l"/>
        <c:majorGridlines/>
        <c:numFmt formatCode="General" sourceLinked="1"/>
        <c:tickLblPos val="nextTo"/>
        <c:txPr>
          <a:bodyPr/>
          <a:lstStyle/>
          <a:p>
            <a:pPr>
              <a:defRPr lang="ar-IQ"/>
            </a:pPr>
            <a:endParaRPr lang="ar-IQ"/>
          </a:p>
        </c:txPr>
        <c:crossAx val="167211776"/>
        <c:crosses val="autoZero"/>
        <c:crossBetween val="between"/>
      </c:valAx>
    </c:plotArea>
    <c:plotVisOnly val="1"/>
    <c:dispBlanksAs val="gap"/>
  </c:chart>
  <c:externalData r:id="rId2"/>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7E44-BE26-4EF9-AFA0-A87117E4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6407</Words>
  <Characters>36523</Characters>
  <Application>Microsoft Office Word</Application>
  <DocSecurity>0</DocSecurity>
  <Lines>304</Lines>
  <Paragraphs>85</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2021-06-24T06:30:00Z</cp:lastPrinted>
  <dcterms:created xsi:type="dcterms:W3CDTF">2021-07-09T21:38:00Z</dcterms:created>
  <dcterms:modified xsi:type="dcterms:W3CDTF">2021-07-10T18:27:00Z</dcterms:modified>
</cp:coreProperties>
</file>