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7D" w:rsidRPr="00CA267D" w:rsidRDefault="00CA267D" w:rsidP="006F2E71">
      <w:pPr>
        <w:bidi w:val="0"/>
        <w:spacing w:after="0" w:line="360" w:lineRule="auto"/>
        <w:ind w:left="-709" w:right="-341"/>
        <w:jc w:val="center"/>
        <w:rPr>
          <w:rFonts w:ascii="Cambria Math" w:hAnsi="Cambria Math" w:cstheme="majorBidi"/>
          <w:b/>
          <w:i/>
          <w:iCs/>
          <w:sz w:val="52"/>
          <w:szCs w:val="5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A267D">
        <w:rPr>
          <w:rFonts w:asciiTheme="majorBidi" w:hAnsiTheme="majorBidi" w:cstheme="majorBidi"/>
          <w:b/>
          <w:bCs/>
          <w:color w:val="000000" w:themeColor="text1"/>
          <w:spacing w:val="10"/>
          <w:sz w:val="52"/>
          <w:szCs w:val="52"/>
          <w:lang w:bidi="ar-IQ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Abstract</w:t>
      </w:r>
    </w:p>
    <w:p w:rsidR="00CA267D" w:rsidRPr="00061C35" w:rsidRDefault="00CA267D" w:rsidP="006F2E71">
      <w:pPr>
        <w:bidi w:val="0"/>
        <w:spacing w:after="240" w:line="360" w:lineRule="auto"/>
        <w:ind w:left="-709" w:right="-34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A267D" w:rsidRPr="00061C35" w:rsidRDefault="006F2E71" w:rsidP="00377A75">
      <w:pPr>
        <w:pStyle w:val="a7"/>
        <w:bidi w:val="0"/>
        <w:spacing w:after="240" w:line="360" w:lineRule="auto"/>
        <w:ind w:left="-709" w:right="-34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The purpose of this thesis is to study some</w:t>
      </w:r>
      <w:r w:rsidR="00432245">
        <w:rPr>
          <w:rFonts w:asciiTheme="majorBidi" w:hAnsiTheme="majorBidi" w:cstheme="majorBidi"/>
          <w:sz w:val="28"/>
          <w:szCs w:val="28"/>
        </w:rPr>
        <w:t xml:space="preserve"> ideas</w:t>
      </w:r>
      <w:r w:rsidR="00CA267D" w:rsidRPr="00061C35">
        <w:rPr>
          <w:rFonts w:asciiTheme="majorBidi" w:hAnsiTheme="majorBidi" w:cstheme="majorBidi"/>
          <w:sz w:val="28"/>
          <w:szCs w:val="28"/>
        </w:rPr>
        <w:t xml:space="preserve"> on aspects of subclasses in univalent and bi-univalent function theory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This study of differential sandwich theorems of meromorphic univalent function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s. We obtain some </w:t>
      </w:r>
      <w:r w:rsidR="00377A75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ubordination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 xml:space="preserve">  and </w:t>
      </w:r>
      <w:r>
        <w:rPr>
          <w:rFonts w:asciiTheme="majorBidi" w:hAnsiTheme="majorBidi" w:cstheme="majorBidi"/>
          <w:iCs/>
          <w:sz w:val="28"/>
          <w:szCs w:val="28"/>
          <w:lang w:bidi="ar-IQ"/>
        </w:rPr>
        <w:t>superordination</w:t>
      </w:r>
      <w:r w:rsidR="00CA267D" w:rsidRPr="00061C3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results for certain normalized</w:t>
      </w:r>
      <w:r w:rsidR="00432245">
        <w:rPr>
          <w:rFonts w:asciiTheme="majorBidi" w:hAnsiTheme="majorBidi" w:cstheme="majorBidi"/>
          <w:sz w:val="28"/>
          <w:szCs w:val="28"/>
          <w:lang w:bidi="ar-IQ"/>
        </w:rPr>
        <w:t xml:space="preserve"> meromorphic univalent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 xml:space="preserve"> functions. We get </w:t>
      </w:r>
      <w:r>
        <w:rPr>
          <w:rFonts w:asciiTheme="majorBidi" w:hAnsiTheme="majorBidi" w:cstheme="majorBidi"/>
          <w:sz w:val="28"/>
          <w:szCs w:val="28"/>
          <w:lang w:bidi="ar-IQ"/>
        </w:rPr>
        <w:t>also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 xml:space="preserve"> some sandwich theorems .We have  also discussed the third-order differential subordination and superordination results of analytic functions define</w:t>
      </w:r>
      <w:r w:rsidR="00BA31A1">
        <w:rPr>
          <w:rFonts w:asciiTheme="majorBidi" w:hAnsiTheme="majorBidi" w:cstheme="majorBidi"/>
          <w:sz w:val="28"/>
          <w:szCs w:val="28"/>
          <w:lang w:bidi="ar-IQ"/>
        </w:rPr>
        <w:t>d by generalized operator.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A31A1"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e derive some results by investigating appropriate cl</w:t>
      </w:r>
      <w:r w:rsidR="00377A75">
        <w:rPr>
          <w:rFonts w:asciiTheme="majorBidi" w:hAnsiTheme="majorBidi" w:cstheme="majorBidi"/>
          <w:sz w:val="28"/>
          <w:szCs w:val="28"/>
          <w:lang w:bidi="ar-IQ"/>
        </w:rPr>
        <w:t xml:space="preserve">asses of admissible functions.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Sandwich type results will be noted. We have also given coefficient  estimates for subclasses of</w:t>
      </w:r>
      <w:r>
        <w:rPr>
          <w:rFonts w:asciiTheme="majorBidi" w:hAnsiTheme="majorBidi" w:cstheme="majorBidi"/>
          <w:sz w:val="28"/>
          <w:szCs w:val="28"/>
        </w:rPr>
        <w:t xml:space="preserve"> bi-univalent functions. Here</w:t>
      </w:r>
      <w:r w:rsidR="00CA267D" w:rsidRPr="00061C3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A267D" w:rsidRPr="00061C35">
        <w:rPr>
          <w:rFonts w:asciiTheme="majorBidi" w:hAnsiTheme="majorBidi" w:cstheme="majorBidi"/>
          <w:sz w:val="28"/>
          <w:szCs w:val="28"/>
        </w:rPr>
        <w:t>we find two new subclasse</w:t>
      </w:r>
      <w:r w:rsidR="00F23E34">
        <w:rPr>
          <w:rFonts w:asciiTheme="majorBidi" w:hAnsiTheme="majorBidi" w:cstheme="majorBidi"/>
          <w:sz w:val="28"/>
          <w:szCs w:val="28"/>
        </w:rPr>
        <w:t xml:space="preserve">s of the class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∑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consisting of analytic a</w:t>
      </w:r>
      <w:r w:rsidR="00CA267D" w:rsidRPr="00061C35">
        <w:rPr>
          <w:rFonts w:asciiTheme="majorBidi" w:hAnsiTheme="majorBidi" w:cstheme="majorBidi"/>
          <w:sz w:val="28"/>
          <w:szCs w:val="28"/>
        </w:rPr>
        <w:t>nd bi-univalent functions in the open unit disk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U</m:t>
        </m:r>
      </m:oMath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CA267D" w:rsidRPr="00061C35">
        <w:rPr>
          <w:rFonts w:asciiTheme="majorBidi" w:hAnsiTheme="majorBidi" w:cstheme="majorBidi"/>
          <w:sz w:val="28"/>
          <w:szCs w:val="28"/>
        </w:rPr>
        <w:t xml:space="preserve">obtain the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est</w:t>
      </w:r>
      <w:r w:rsidR="00F23E34">
        <w:rPr>
          <w:rFonts w:asciiTheme="majorBidi" w:hAnsiTheme="majorBidi" w:cstheme="majorBidi"/>
          <w:sz w:val="28"/>
          <w:szCs w:val="28"/>
          <w:lang w:bidi="ar-IQ"/>
        </w:rPr>
        <w:t xml:space="preserve">imates on the Taylor-Maclurin  </w:t>
      </w:r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coefficients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  <w:lang w:bidi="ar-IQ"/>
        </w:rPr>
        <w:t>for functions in these subclasses.   We also have dealt with the coefficient  estimates for some subclasses of</w:t>
      </w:r>
      <w:r w:rsidR="00CA267D" w:rsidRPr="00061C35">
        <w:rPr>
          <w:rFonts w:asciiTheme="majorBidi" w:hAnsiTheme="majorBidi" w:cstheme="majorBidi"/>
          <w:sz w:val="28"/>
          <w:szCs w:val="28"/>
        </w:rPr>
        <w:t xml:space="preserve"> m-fold symmetric bi-univalent functions, we introduce two general subclasses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nary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γ,μ,λ,η;α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H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</m:t>
                    </m:r>
                  </m:e>
                </m:nary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γ,μ,λ,η;β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 xml:space="preserve">of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>, consisting  of analytic and m-fold symmetric bi-univalent functions, we obtain estimates on the initial coefficients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>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2m+1</m:t>
                </m:r>
              </m:sub>
            </m:sSub>
          </m:e>
        </m:d>
      </m:oMath>
      <w:r w:rsidR="00CA267D" w:rsidRPr="00061C35">
        <w:rPr>
          <w:rFonts w:asciiTheme="majorBidi" w:hAnsiTheme="majorBidi" w:cstheme="majorBidi"/>
          <w:sz w:val="28"/>
          <w:szCs w:val="28"/>
        </w:rPr>
        <w:t>.</w:t>
      </w:r>
      <w:r w:rsidR="00CA267D">
        <w:rPr>
          <w:rFonts w:asciiTheme="majorBidi" w:hAnsiTheme="majorBidi" w:cstheme="majorBidi"/>
          <w:sz w:val="28"/>
          <w:szCs w:val="28"/>
        </w:rPr>
        <w:t xml:space="preserve"> </w:t>
      </w:r>
      <w:r w:rsidR="00CA267D" w:rsidRPr="00061C35">
        <w:rPr>
          <w:rFonts w:asciiTheme="majorBidi" w:hAnsiTheme="majorBidi" w:cstheme="majorBidi"/>
          <w:sz w:val="28"/>
          <w:szCs w:val="28"/>
        </w:rPr>
        <w:t>Also, we have discussed the subclasses of bi-univalent functions satisf</w:t>
      </w:r>
      <w:r w:rsidR="00BA31A1">
        <w:rPr>
          <w:rFonts w:asciiTheme="majorBidi" w:hAnsiTheme="majorBidi" w:cstheme="majorBidi"/>
          <w:sz w:val="28"/>
          <w:szCs w:val="28"/>
        </w:rPr>
        <w:t>ying quasi-subordination. W</w:t>
      </w:r>
      <w:r w:rsidR="00CA267D" w:rsidRPr="00061C35">
        <w:rPr>
          <w:rFonts w:asciiTheme="majorBidi" w:hAnsiTheme="majorBidi" w:cstheme="majorBidi"/>
          <w:sz w:val="28"/>
          <w:szCs w:val="28"/>
        </w:rPr>
        <w:t xml:space="preserve">e derive two subclasses  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</m:nary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q,ϕ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 xml:space="preserve">(γ,τ)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>and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Κ</m:t>
            </m:r>
          </m:e>
          <m:sub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</m:nary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λ,ϕ </m:t>
            </m:r>
          </m:e>
        </m:d>
      </m:oMath>
      <w:r w:rsidR="00CA267D" w:rsidRPr="00061C35">
        <w:rPr>
          <w:rFonts w:asciiTheme="majorBidi" w:hAnsiTheme="majorBidi" w:cstheme="majorBidi"/>
          <w:sz w:val="28"/>
          <w:szCs w:val="28"/>
        </w:rPr>
        <w:t xml:space="preserve"> of  bi-univalent functions. We obtain the estimates of coefficients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|a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|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|a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| </m:t>
        </m:r>
      </m:oMath>
      <w:r w:rsidR="00CA267D" w:rsidRPr="00061C35">
        <w:rPr>
          <w:rFonts w:asciiTheme="majorBidi" w:hAnsiTheme="majorBidi" w:cstheme="majorBidi"/>
          <w:sz w:val="28"/>
          <w:szCs w:val="28"/>
        </w:rPr>
        <w:t>for functions in these subclasses.</w:t>
      </w:r>
    </w:p>
    <w:p w:rsidR="00BB2DC8" w:rsidRPr="003A7081" w:rsidRDefault="00BB2DC8" w:rsidP="006F2E71">
      <w:pPr>
        <w:bidi w:val="0"/>
        <w:spacing w:line="360" w:lineRule="auto"/>
        <w:ind w:left="-709" w:right="-341" w:firstLine="720"/>
        <w:jc w:val="both"/>
        <w:rPr>
          <w:rFonts w:ascii="Cambria Math" w:hAnsi="Cambria Math"/>
          <w:sz w:val="28"/>
          <w:szCs w:val="28"/>
          <w:rtl/>
          <w:lang w:bidi="ar-IQ"/>
        </w:rPr>
      </w:pPr>
    </w:p>
    <w:sectPr w:rsidR="00BB2DC8" w:rsidRPr="003A7081" w:rsidSect="00C9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67" w:footer="567" w:gutter="0"/>
      <w:pgNumType w:fmt="upperRoman"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91" w:rsidRDefault="00A73691" w:rsidP="003A7081">
      <w:pPr>
        <w:spacing w:after="0" w:line="240" w:lineRule="auto"/>
      </w:pPr>
      <w:r>
        <w:separator/>
      </w:r>
    </w:p>
  </w:endnote>
  <w:endnote w:type="continuationSeparator" w:id="0">
    <w:p w:rsidR="00A73691" w:rsidRDefault="00A73691" w:rsidP="003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A" w:rsidRDefault="00D576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  <w:rtl/>
      </w:rPr>
      <w:id w:val="1299804074"/>
      <w:docPartObj>
        <w:docPartGallery w:val="Page Numbers (Bottom of Page)"/>
        <w:docPartUnique/>
      </w:docPartObj>
    </w:sdtPr>
    <w:sdtEndPr/>
    <w:sdtContent>
      <w:p w:rsidR="0073083E" w:rsidRPr="004951F3" w:rsidRDefault="0073083E">
        <w:pPr>
          <w:pStyle w:val="a6"/>
          <w:jc w:val="center"/>
          <w:rPr>
            <w:sz w:val="28"/>
            <w:szCs w:val="28"/>
          </w:rPr>
        </w:pPr>
        <w:r w:rsidRPr="004951F3">
          <w:rPr>
            <w:noProof/>
            <w:sz w:val="28"/>
            <w:szCs w:val="28"/>
            <w:rtl/>
          </w:rPr>
          <mc:AlternateContent>
            <mc:Choice Requires="wps">
              <w:drawing>
                <wp:inline distT="0" distB="0" distL="0" distR="0" wp14:anchorId="3B4A47BF" wp14:editId="2BAF2C07">
                  <wp:extent cx="5467350" cy="54610"/>
                  <wp:effectExtent l="9525" t="19050" r="9525" b="12065"/>
                  <wp:docPr id="1" name="مخطط انسيابي: قرا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12B6DE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" fillcolor="black">
                  <w10:wrap anchorx="page"/>
                  <w10:anchorlock/>
                </v:shape>
              </w:pict>
            </mc:Fallback>
          </mc:AlternateContent>
        </w:r>
      </w:p>
      <w:p w:rsidR="0073083E" w:rsidRPr="004951F3" w:rsidRDefault="0073083E" w:rsidP="0073083E">
        <w:pPr>
          <w:pStyle w:val="a6"/>
          <w:jc w:val="center"/>
          <w:rPr>
            <w:sz w:val="28"/>
            <w:szCs w:val="28"/>
          </w:rPr>
        </w:pPr>
        <w:r w:rsidRPr="007847E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847EB">
          <w:rPr>
            <w:rFonts w:asciiTheme="majorBidi" w:hAnsiTheme="majorBidi" w:cstheme="majorBidi"/>
            <w:sz w:val="24"/>
            <w:szCs w:val="24"/>
          </w:rPr>
          <w:instrText>PAGE    \* MERGEFORMAT</w:instrText>
        </w:r>
        <w:r w:rsidRPr="007847E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117A8" w:rsidRPr="00D117A8">
          <w:rPr>
            <w:rFonts w:asciiTheme="majorBidi" w:hAnsiTheme="majorBidi" w:cs="Times New Roman"/>
            <w:noProof/>
            <w:sz w:val="24"/>
            <w:szCs w:val="24"/>
            <w:lang w:val="ar-SA"/>
          </w:rPr>
          <w:t>VII</w:t>
        </w:r>
        <w:r w:rsidRPr="007847E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A" w:rsidRDefault="00D57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91" w:rsidRDefault="00A73691" w:rsidP="003A7081">
      <w:pPr>
        <w:spacing w:after="0" w:line="240" w:lineRule="auto"/>
      </w:pPr>
      <w:r>
        <w:separator/>
      </w:r>
    </w:p>
  </w:footnote>
  <w:footnote w:type="continuationSeparator" w:id="0">
    <w:p w:rsidR="00A73691" w:rsidRDefault="00A73691" w:rsidP="003A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A" w:rsidRDefault="00D576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81" w:rsidRPr="006E2870" w:rsidRDefault="00A73691" w:rsidP="00276D2A">
    <w:pPr>
      <w:pStyle w:val="a5"/>
      <w:pBdr>
        <w:bottom w:val="thickThinSmallGap" w:sz="24" w:space="0" w:color="622423" w:themeColor="accent2" w:themeShade="7F"/>
      </w:pBdr>
      <w:tabs>
        <w:tab w:val="clear" w:pos="8306"/>
        <w:tab w:val="right" w:pos="8874"/>
      </w:tabs>
      <w:bidi w:val="0"/>
      <w:ind w:left="-851" w:right="-568"/>
      <w:jc w:val="both"/>
      <w:rPr>
        <w:rFonts w:asciiTheme="majorBidi" w:hAnsiTheme="majorBidi" w:cstheme="majorBidi"/>
        <w:sz w:val="24"/>
        <w:szCs w:val="24"/>
      </w:rPr>
    </w:pPr>
    <w:sdt>
      <w:sdtPr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lang w:bidi="ar-IQ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العنوان"/>
        <w:id w:val="77738743"/>
        <w:placeholder>
          <w:docPart w:val="7EC6180F16284849947A04FD6CE4FC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7081" w:rsidRPr="006E2870">
          <w:rPr>
            <w:rFonts w:asciiTheme="majorBidi" w:hAnsiTheme="majorBidi" w:cstheme="majorBidi"/>
            <w:bCs/>
            <w:i/>
            <w:iCs/>
            <w:color w:val="000000" w:themeColor="text1"/>
            <w:sz w:val="24"/>
            <w:szCs w:val="24"/>
            <w:lang w:bidi="ar-IQ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Abstract</w:t>
        </w:r>
      </w:sdtContent>
    </w:sdt>
    <w:r w:rsidR="0057070E" w:rsidRPr="006E2870">
      <w:rPr>
        <w:rFonts w:asciiTheme="majorBidi" w:hAnsiTheme="majorBidi" w:cstheme="majorBidi"/>
        <w:bCs/>
        <w:i/>
        <w:iCs/>
        <w:color w:val="000000" w:themeColor="text1"/>
        <w:sz w:val="24"/>
        <w:szCs w:val="24"/>
        <w:lang w:bidi="ar-IQ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</w:t>
    </w:r>
    <w:r w:rsidR="003A7081" w:rsidRPr="006E2870">
      <w:rPr>
        <w:rFonts w:asciiTheme="majorBidi" w:hAnsiTheme="majorBidi" w:cstheme="majorBidi"/>
        <w:bCs/>
        <w:i/>
        <w:iCs/>
        <w:color w:val="000000" w:themeColor="text1"/>
        <w:sz w:val="24"/>
        <w:szCs w:val="24"/>
        <w:lang w:bidi="ar-IQ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</w:t>
    </w:r>
    <w:r w:rsidR="003A7081" w:rsidRPr="006E2870">
      <w:rPr>
        <w:rFonts w:asciiTheme="majorBidi" w:hAnsiTheme="majorBidi" w:cstheme="majorBidi"/>
        <w:b/>
        <w:bCs/>
        <w:sz w:val="40"/>
        <w:szCs w:val="40"/>
      </w:rPr>
      <w:t xml:space="preserve"> </w:t>
    </w:r>
    <w:r w:rsidR="003A7081" w:rsidRPr="006E2870">
      <w:rPr>
        <w:rFonts w:asciiTheme="majorBidi" w:hAnsiTheme="majorBidi" w:cstheme="majorBidi"/>
        <w:bCs/>
        <w:i/>
        <w:iCs/>
        <w:color w:val="000000" w:themeColor="text1"/>
        <w:sz w:val="24"/>
        <w:szCs w:val="24"/>
        <w:lang w:bidi="ar-IQ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A" w:rsidRDefault="00D576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3"/>
    <w:rsid w:val="00056061"/>
    <w:rsid w:val="00063CE5"/>
    <w:rsid w:val="000679FE"/>
    <w:rsid w:val="000A26AA"/>
    <w:rsid w:val="000A7E05"/>
    <w:rsid w:val="00143B7A"/>
    <w:rsid w:val="001523AA"/>
    <w:rsid w:val="00167E55"/>
    <w:rsid w:val="001C39ED"/>
    <w:rsid w:val="00222097"/>
    <w:rsid w:val="00276D2A"/>
    <w:rsid w:val="002F3172"/>
    <w:rsid w:val="002F3476"/>
    <w:rsid w:val="00377A75"/>
    <w:rsid w:val="003A7081"/>
    <w:rsid w:val="003C2B40"/>
    <w:rsid w:val="003D1B57"/>
    <w:rsid w:val="003D686A"/>
    <w:rsid w:val="004249D3"/>
    <w:rsid w:val="00432245"/>
    <w:rsid w:val="004951F3"/>
    <w:rsid w:val="004B06B4"/>
    <w:rsid w:val="004C06DF"/>
    <w:rsid w:val="004D021C"/>
    <w:rsid w:val="004D5B4E"/>
    <w:rsid w:val="004E33D9"/>
    <w:rsid w:val="00502CBE"/>
    <w:rsid w:val="00537A35"/>
    <w:rsid w:val="00567426"/>
    <w:rsid w:val="0057070E"/>
    <w:rsid w:val="005A6FC2"/>
    <w:rsid w:val="005B28B1"/>
    <w:rsid w:val="005C1C01"/>
    <w:rsid w:val="00614576"/>
    <w:rsid w:val="006178B3"/>
    <w:rsid w:val="00632463"/>
    <w:rsid w:val="00642E26"/>
    <w:rsid w:val="006562E1"/>
    <w:rsid w:val="00666BBF"/>
    <w:rsid w:val="006D5F69"/>
    <w:rsid w:val="006E2870"/>
    <w:rsid w:val="006E65AB"/>
    <w:rsid w:val="006F2E71"/>
    <w:rsid w:val="007004AD"/>
    <w:rsid w:val="0073083E"/>
    <w:rsid w:val="00744A9D"/>
    <w:rsid w:val="00773C27"/>
    <w:rsid w:val="007847EB"/>
    <w:rsid w:val="00793928"/>
    <w:rsid w:val="007E7816"/>
    <w:rsid w:val="008A2CA0"/>
    <w:rsid w:val="008B308B"/>
    <w:rsid w:val="009067C5"/>
    <w:rsid w:val="00913FD2"/>
    <w:rsid w:val="00923444"/>
    <w:rsid w:val="00940789"/>
    <w:rsid w:val="009E2734"/>
    <w:rsid w:val="009E28DF"/>
    <w:rsid w:val="00A46ACA"/>
    <w:rsid w:val="00A54B09"/>
    <w:rsid w:val="00A73691"/>
    <w:rsid w:val="00AE2890"/>
    <w:rsid w:val="00B43698"/>
    <w:rsid w:val="00BA31A1"/>
    <w:rsid w:val="00BB2DC8"/>
    <w:rsid w:val="00BE6EEB"/>
    <w:rsid w:val="00BF78FD"/>
    <w:rsid w:val="00C916F6"/>
    <w:rsid w:val="00CA267D"/>
    <w:rsid w:val="00CB0BB6"/>
    <w:rsid w:val="00D117A8"/>
    <w:rsid w:val="00D5766A"/>
    <w:rsid w:val="00D5796F"/>
    <w:rsid w:val="00D6317C"/>
    <w:rsid w:val="00DD14CD"/>
    <w:rsid w:val="00E12F8E"/>
    <w:rsid w:val="00E15BBF"/>
    <w:rsid w:val="00E520A6"/>
    <w:rsid w:val="00E82347"/>
    <w:rsid w:val="00ED3D59"/>
    <w:rsid w:val="00EE2866"/>
    <w:rsid w:val="00F13A05"/>
    <w:rsid w:val="00F147EC"/>
    <w:rsid w:val="00F23E34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6A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A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2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A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A7081"/>
  </w:style>
  <w:style w:type="paragraph" w:styleId="a6">
    <w:name w:val="footer"/>
    <w:basedOn w:val="a"/>
    <w:link w:val="Char1"/>
    <w:uiPriority w:val="99"/>
    <w:unhideWhenUsed/>
    <w:rsid w:val="003A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A7081"/>
  </w:style>
  <w:style w:type="paragraph" w:styleId="a7">
    <w:name w:val="No Spacing"/>
    <w:basedOn w:val="a"/>
    <w:uiPriority w:val="1"/>
    <w:qFormat/>
    <w:rsid w:val="00CA267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6A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A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2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A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A7081"/>
  </w:style>
  <w:style w:type="paragraph" w:styleId="a6">
    <w:name w:val="footer"/>
    <w:basedOn w:val="a"/>
    <w:link w:val="Char1"/>
    <w:uiPriority w:val="99"/>
    <w:unhideWhenUsed/>
    <w:rsid w:val="003A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A7081"/>
  </w:style>
  <w:style w:type="paragraph" w:styleId="a7">
    <w:name w:val="No Spacing"/>
    <w:basedOn w:val="a"/>
    <w:uiPriority w:val="1"/>
    <w:qFormat/>
    <w:rsid w:val="00CA26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C6180F16284849947A04FD6CE4FC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14DE15-A3A0-4FE5-9238-E191B189A555}"/>
      </w:docPartPr>
      <w:docPartBody>
        <w:p w:rsidR="00B2593E" w:rsidRDefault="009F7916" w:rsidP="009F7916">
          <w:pPr>
            <w:pStyle w:val="7EC6180F16284849947A04FD6CE4FC6B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75"/>
    <w:rsid w:val="000B3A19"/>
    <w:rsid w:val="00137275"/>
    <w:rsid w:val="0020318F"/>
    <w:rsid w:val="00263EDE"/>
    <w:rsid w:val="003421AD"/>
    <w:rsid w:val="003E59A3"/>
    <w:rsid w:val="00402F6E"/>
    <w:rsid w:val="004B5F3C"/>
    <w:rsid w:val="004F32B9"/>
    <w:rsid w:val="00517AFD"/>
    <w:rsid w:val="005356AF"/>
    <w:rsid w:val="005E76B1"/>
    <w:rsid w:val="00664FB9"/>
    <w:rsid w:val="006D0B2F"/>
    <w:rsid w:val="00774D1A"/>
    <w:rsid w:val="00775DE0"/>
    <w:rsid w:val="007A17C6"/>
    <w:rsid w:val="00815261"/>
    <w:rsid w:val="00846D1D"/>
    <w:rsid w:val="008A5F22"/>
    <w:rsid w:val="008F338F"/>
    <w:rsid w:val="009B122E"/>
    <w:rsid w:val="009B388F"/>
    <w:rsid w:val="009F7916"/>
    <w:rsid w:val="00A006DE"/>
    <w:rsid w:val="00A47E86"/>
    <w:rsid w:val="00B2593E"/>
    <w:rsid w:val="00BB60A9"/>
    <w:rsid w:val="00C72B9E"/>
    <w:rsid w:val="00D20232"/>
    <w:rsid w:val="00DA5D61"/>
    <w:rsid w:val="00E5275D"/>
    <w:rsid w:val="00EB60A3"/>
    <w:rsid w:val="00EB7BA9"/>
    <w:rsid w:val="00F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275"/>
    <w:rPr>
      <w:color w:val="808080"/>
    </w:rPr>
  </w:style>
  <w:style w:type="paragraph" w:customStyle="1" w:styleId="7EC6180F16284849947A04FD6CE4FC6B">
    <w:name w:val="7EC6180F16284849947A04FD6CE4FC6B"/>
    <w:rsid w:val="009F7916"/>
    <w:pPr>
      <w:bidi/>
      <w:spacing w:after="160" w:line="259" w:lineRule="auto"/>
    </w:pPr>
  </w:style>
  <w:style w:type="paragraph" w:customStyle="1" w:styleId="E3AB89437FCE410B8A4A7F2620E14388">
    <w:name w:val="E3AB89437FCE410B8A4A7F2620E14388"/>
    <w:rsid w:val="006D0B2F"/>
    <w:pPr>
      <w:bidi/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275"/>
    <w:rPr>
      <w:color w:val="808080"/>
    </w:rPr>
  </w:style>
  <w:style w:type="paragraph" w:customStyle="1" w:styleId="7EC6180F16284849947A04FD6CE4FC6B">
    <w:name w:val="7EC6180F16284849947A04FD6CE4FC6B"/>
    <w:rsid w:val="009F7916"/>
    <w:pPr>
      <w:bidi/>
      <w:spacing w:after="160" w:line="259" w:lineRule="auto"/>
    </w:pPr>
  </w:style>
  <w:style w:type="paragraph" w:customStyle="1" w:styleId="E3AB89437FCE410B8A4A7F2620E14388">
    <w:name w:val="E3AB89437FCE410B8A4A7F2620E14388"/>
    <w:rsid w:val="006D0B2F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math</dc:creator>
  <cp:lastModifiedBy>asd. al mustafa</cp:lastModifiedBy>
  <cp:revision>55</cp:revision>
  <cp:lastPrinted>2018-07-08T06:48:00Z</cp:lastPrinted>
  <dcterms:created xsi:type="dcterms:W3CDTF">2016-05-12T20:28:00Z</dcterms:created>
  <dcterms:modified xsi:type="dcterms:W3CDTF">2018-07-08T06:48:00Z</dcterms:modified>
</cp:coreProperties>
</file>